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74" w:rsidRPr="001A1DFF" w:rsidRDefault="00BC2E74"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CIZA, Zavod za razvoj podeželja, Šmartinska 134 a, 1000 Ljubljana, kot vodilni partner Lokalne akcijske skupine Sožitje med mestom in podeželjem (v nadaljevanju LAS</w:t>
      </w:r>
      <w:r w:rsidR="000554FF" w:rsidRPr="001A1DFF">
        <w:rPr>
          <w:rFonts w:eastAsia="Times New Roman" w:cstheme="minorHAnsi"/>
          <w:lang w:eastAsia="sl-SI"/>
        </w:rPr>
        <w:t xml:space="preserve"> SMP</w:t>
      </w:r>
      <w:r w:rsidRPr="001A1DFF">
        <w:rPr>
          <w:rFonts w:eastAsia="Times New Roman" w:cstheme="minorHAnsi"/>
          <w:lang w:eastAsia="sl-SI"/>
        </w:rPr>
        <w:t>), s sedežem na naslovu vodilnega partnerja LAS, ki zastopa LAS v upravnih in finančnih zadevah, v imenu in za račun LAS na podlagi: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67720D">
      <w:pPr>
        <w:pStyle w:val="Odstavekseznama"/>
        <w:widowControl w:val="0"/>
        <w:numPr>
          <w:ilvl w:val="0"/>
          <w:numId w:val="2"/>
        </w:numPr>
        <w:autoSpaceDE w:val="0"/>
        <w:autoSpaceDN w:val="0"/>
        <w:adjustRightInd w:val="0"/>
        <w:spacing w:after="0"/>
        <w:jc w:val="both"/>
        <w:rPr>
          <w:rFonts w:asciiTheme="minorHAnsi" w:hAnsiTheme="minorHAnsi" w:cstheme="minorHAnsi"/>
        </w:rPr>
      </w:pPr>
      <w:r w:rsidRPr="001A1DFF">
        <w:rPr>
          <w:rFonts w:asciiTheme="minorHAnsi" w:hAnsiTheme="minorHAnsi" w:cstheme="minorHAnsi"/>
        </w:rPr>
        <w:t>prvega odstavka 29. člena in prvega odstavka 32. člena Uredbe o izvajanju lokalnega razvoja, ki ga vodi skupnost, v programskem obdobju 2014–2020</w:t>
      </w:r>
      <w:r w:rsidR="008C1C25" w:rsidRPr="001A1DFF">
        <w:rPr>
          <w:rFonts w:asciiTheme="minorHAnsi" w:hAnsiTheme="minorHAnsi" w:cstheme="minorHAnsi"/>
        </w:rPr>
        <w:t xml:space="preserve"> (Uradni list RS št. 42/2015)</w:t>
      </w:r>
      <w:r w:rsidR="0067720D" w:rsidRPr="001A1DFF">
        <w:rPr>
          <w:rFonts w:asciiTheme="minorHAnsi" w:hAnsiTheme="minorHAnsi" w:cstheme="minorHAnsi"/>
        </w:rPr>
        <w:t xml:space="preserve"> </w:t>
      </w:r>
      <w:r w:rsidR="006B7453" w:rsidRPr="001A1DFF">
        <w:rPr>
          <w:rFonts w:asciiTheme="minorHAnsi" w:hAnsiTheme="minorHAnsi" w:cstheme="minorHAnsi"/>
        </w:rPr>
        <w:t xml:space="preserve">ter Uredbe o spremembah in dopolnitvah </w:t>
      </w:r>
      <w:r w:rsidR="0067720D" w:rsidRPr="001A1DFF">
        <w:rPr>
          <w:rFonts w:asciiTheme="minorHAnsi" w:hAnsiTheme="minorHAnsi" w:cstheme="minorHAnsi"/>
        </w:rPr>
        <w:t>Uredbe o izvajanju lokalnega razvoja, ki ga vodi skupnost v programskem obdobju 2014-2020 (</w:t>
      </w:r>
      <w:r w:rsidR="00186A82" w:rsidRPr="001A1DFF">
        <w:rPr>
          <w:rStyle w:val="Krepko"/>
          <w:rFonts w:asciiTheme="minorHAnsi" w:hAnsiTheme="minorHAnsi" w:cstheme="minorHAnsi"/>
          <w:b w:val="0"/>
          <w:shd w:val="clear" w:color="auto" w:fill="FFFFFF"/>
        </w:rPr>
        <w:t>Uradni list</w:t>
      </w:r>
      <w:r w:rsidR="0067720D" w:rsidRPr="001A1DFF">
        <w:rPr>
          <w:rStyle w:val="Krepko"/>
          <w:rFonts w:asciiTheme="minorHAnsi" w:hAnsiTheme="minorHAnsi" w:cstheme="minorHAnsi"/>
          <w:b w:val="0"/>
          <w:shd w:val="clear" w:color="auto" w:fill="FFFFFF"/>
        </w:rPr>
        <w:t xml:space="preserve"> RS, št. 28/2016</w:t>
      </w:r>
      <w:r w:rsidR="000554FF" w:rsidRPr="001A1DFF">
        <w:rPr>
          <w:rStyle w:val="Krepko"/>
          <w:rFonts w:asciiTheme="minorHAnsi" w:hAnsiTheme="minorHAnsi" w:cstheme="minorHAnsi"/>
          <w:b w:val="0"/>
          <w:shd w:val="clear" w:color="auto" w:fill="FFFFFF"/>
        </w:rPr>
        <w:t xml:space="preserve"> in 73/2016</w:t>
      </w:r>
      <w:r w:rsidR="0067720D" w:rsidRPr="001A1DFF">
        <w:rPr>
          <w:rStyle w:val="Krepko"/>
          <w:rFonts w:asciiTheme="minorHAnsi" w:hAnsiTheme="minorHAnsi" w:cstheme="minorHAnsi"/>
          <w:b w:val="0"/>
          <w:shd w:val="clear" w:color="auto" w:fill="FFFFFF"/>
        </w:rPr>
        <w:t>),</w:t>
      </w:r>
      <w:r w:rsidR="0067720D" w:rsidRPr="001A1DFF">
        <w:rPr>
          <w:rStyle w:val="Krepko"/>
          <w:rFonts w:asciiTheme="minorHAnsi" w:hAnsiTheme="minorHAnsi" w:cstheme="minorHAnsi"/>
          <w:shd w:val="clear" w:color="auto" w:fill="FFFFFF"/>
        </w:rPr>
        <w:t xml:space="preserve"> </w:t>
      </w:r>
    </w:p>
    <w:p w:rsidR="00C93632" w:rsidRPr="001A1DFF" w:rsidRDefault="00BC2E74" w:rsidP="00C93632">
      <w:pPr>
        <w:widowControl w:val="0"/>
        <w:numPr>
          <w:ilvl w:val="0"/>
          <w:numId w:val="2"/>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 xml:space="preserve">Potrjene </w:t>
      </w:r>
      <w:r w:rsidR="00C93632" w:rsidRPr="001A1DFF">
        <w:rPr>
          <w:rFonts w:eastAsia="Times New Roman" w:cstheme="minorHAnsi"/>
          <w:lang w:eastAsia="sl-SI"/>
        </w:rPr>
        <w:t>Strategije lokalnega razvoja</w:t>
      </w:r>
      <w:r w:rsidRPr="001A1DFF">
        <w:rPr>
          <w:rFonts w:eastAsia="Times New Roman" w:cstheme="minorHAnsi"/>
          <w:lang w:eastAsia="sl-SI"/>
        </w:rPr>
        <w:t xml:space="preserve"> (v nadaljevanju SLR)</w:t>
      </w:r>
      <w:r w:rsidR="00C93632" w:rsidRPr="001A1DFF">
        <w:rPr>
          <w:rFonts w:eastAsia="Times New Roman" w:cstheme="minorHAnsi"/>
          <w:lang w:eastAsia="sl-SI"/>
        </w:rPr>
        <w:t xml:space="preserve"> </w:t>
      </w:r>
      <w:r w:rsidRPr="001A1DFF">
        <w:rPr>
          <w:rFonts w:eastAsia="Times New Roman" w:cstheme="minorHAnsi"/>
          <w:lang w:eastAsia="sl-SI"/>
        </w:rPr>
        <w:t xml:space="preserve">LAS SMP </w:t>
      </w:r>
      <w:r w:rsidR="00C93632" w:rsidRPr="001A1DFF">
        <w:rPr>
          <w:rFonts w:eastAsia="Times New Roman" w:cstheme="minorHAnsi"/>
          <w:lang w:eastAsia="sl-SI"/>
        </w:rPr>
        <w:t>za obdobje 2014 - 2020, ki zajema območje občin: Grosuplje, Ig, Mestna občina Ljubljana i</w:t>
      </w:r>
      <w:r w:rsidRPr="001A1DFF">
        <w:rPr>
          <w:rFonts w:eastAsia="Times New Roman" w:cstheme="minorHAnsi"/>
          <w:lang w:eastAsia="sl-SI"/>
        </w:rPr>
        <w:t>n Škofljica</w:t>
      </w:r>
      <w:r w:rsidR="00C93632" w:rsidRPr="001A1DFF">
        <w:rPr>
          <w:rFonts w:eastAsia="Times New Roman" w:cstheme="minorHAnsi"/>
          <w:lang w:eastAsia="sl-SI"/>
        </w:rPr>
        <w:t>,</w:t>
      </w:r>
    </w:p>
    <w:p w:rsidR="00BC2E74" w:rsidRPr="001A1DFF" w:rsidRDefault="00BC2E74" w:rsidP="00BC2E74">
      <w:pPr>
        <w:widowControl w:val="0"/>
        <w:numPr>
          <w:ilvl w:val="0"/>
          <w:numId w:val="2"/>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 xml:space="preserve">Pravilnika o določitvi seznama dodatnih drugih urbanih območjih za potrebe opredelitve območij lokalnih akcijskih skupin (Uradni list RS, št. 12/2016, z dne 18.2.2016) in Pravilnika o spremembi Pravilnika o določitvi seznama dodatnih drugih urbanih območjih za potrebe opredelitve območij lokalnih akcijskih skupin (Uradni list RS, št. 35/2016, z dne 13.5.2016), </w:t>
      </w:r>
    </w:p>
    <w:p w:rsidR="000554FF" w:rsidRPr="001A1DFF" w:rsidRDefault="00C93632" w:rsidP="000554FF">
      <w:pPr>
        <w:pStyle w:val="Odstavekseznama"/>
        <w:numPr>
          <w:ilvl w:val="0"/>
          <w:numId w:val="2"/>
        </w:numPr>
        <w:rPr>
          <w:rFonts w:asciiTheme="minorHAnsi" w:hAnsiTheme="minorHAnsi" w:cstheme="minorHAnsi"/>
        </w:rPr>
      </w:pPr>
      <w:r w:rsidRPr="001A1DFF">
        <w:rPr>
          <w:rFonts w:asciiTheme="minorHAnsi" w:hAnsiTheme="minorHAnsi" w:cstheme="minorHAnsi"/>
        </w:rPr>
        <w:t xml:space="preserve">Odločbe Ministrstva za kmetijstvo, gozdarstvo in prehrano opr. št. </w:t>
      </w:r>
      <w:r w:rsidR="000554FF" w:rsidRPr="001A1DFF">
        <w:rPr>
          <w:rFonts w:asciiTheme="minorHAnsi" w:hAnsiTheme="minorHAnsi" w:cstheme="minorHAnsi"/>
        </w:rPr>
        <w:t xml:space="preserve">33151-35/2015/29 z dne 14.10.2016 o izboru potrditvi LAS in SLR, </w:t>
      </w:r>
    </w:p>
    <w:p w:rsidR="000554FF" w:rsidRPr="001A1DFF" w:rsidRDefault="00B07F5C" w:rsidP="000554FF">
      <w:pPr>
        <w:pStyle w:val="Odstavekseznama"/>
        <w:numPr>
          <w:ilvl w:val="0"/>
          <w:numId w:val="2"/>
        </w:numPr>
        <w:rPr>
          <w:rFonts w:asciiTheme="minorHAnsi" w:hAnsiTheme="minorHAnsi" w:cstheme="minorHAnsi"/>
        </w:rPr>
      </w:pPr>
      <w:r w:rsidRPr="001A1DFF">
        <w:rPr>
          <w:rFonts w:asciiTheme="minorHAnsi" w:hAnsiTheme="minorHAnsi" w:cstheme="minorHAnsi"/>
        </w:rPr>
        <w:t>Navodil organa upravljanja za načrtovanje, odločanja o podpori,spremljanje, poročanje in vrednotenje izvajanja evropske kohezijske politike v programskem obdobju 2014 - 2020</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lang w:eastAsia="sl-SI"/>
        </w:rPr>
        <w:t>objavlja</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p>
    <w:p w:rsidR="00C93632" w:rsidRPr="001A1DFF" w:rsidRDefault="00ED643D" w:rsidP="00C93632">
      <w:pPr>
        <w:widowControl w:val="0"/>
        <w:autoSpaceDE w:val="0"/>
        <w:autoSpaceDN w:val="0"/>
        <w:adjustRightInd w:val="0"/>
        <w:spacing w:after="0"/>
        <w:ind w:left="120"/>
        <w:jc w:val="center"/>
        <w:rPr>
          <w:rFonts w:eastAsia="Times New Roman" w:cstheme="minorHAnsi"/>
          <w:b/>
          <w:bCs/>
          <w:lang w:eastAsia="sl-SI"/>
        </w:rPr>
      </w:pPr>
      <w:r w:rsidRPr="00ED643D">
        <w:rPr>
          <w:rFonts w:eastAsia="Times New Roman" w:cstheme="minorHAnsi"/>
          <w:b/>
          <w:bCs/>
          <w:color w:val="FF0000"/>
          <w:lang w:eastAsia="sl-SI"/>
        </w:rPr>
        <w:t>PRENOVLJEN</w:t>
      </w:r>
      <w:r>
        <w:rPr>
          <w:rFonts w:eastAsia="Times New Roman" w:cstheme="minorHAnsi"/>
          <w:b/>
          <w:bCs/>
          <w:lang w:eastAsia="sl-SI"/>
        </w:rPr>
        <w:t xml:space="preserve"> </w:t>
      </w:r>
      <w:r w:rsidR="000554FF" w:rsidRPr="001A1DFF">
        <w:rPr>
          <w:rFonts w:eastAsia="Times New Roman" w:cstheme="minorHAnsi"/>
          <w:b/>
          <w:bCs/>
          <w:lang w:eastAsia="sl-SI"/>
        </w:rPr>
        <w:t xml:space="preserve">1. </w:t>
      </w:r>
      <w:r w:rsidR="00C93632" w:rsidRPr="001A1DFF">
        <w:rPr>
          <w:rFonts w:eastAsia="Times New Roman" w:cstheme="minorHAnsi"/>
          <w:b/>
          <w:bCs/>
          <w:lang w:eastAsia="sl-SI"/>
        </w:rPr>
        <w:t>J A V N I  P O Z I V</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za izbor operacij za uresničevanje ciljev Strategije lokalnega razvoja LAS </w:t>
      </w:r>
      <w:r w:rsidR="000554FF" w:rsidRPr="001A1DFF">
        <w:rPr>
          <w:rFonts w:eastAsia="Times New Roman" w:cstheme="minorHAnsi"/>
          <w:b/>
          <w:bCs/>
          <w:lang w:eastAsia="sl-SI"/>
        </w:rPr>
        <w:t>SMP</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iz </w:t>
      </w:r>
      <w:r w:rsidRPr="001A1DFF">
        <w:rPr>
          <w:rFonts w:eastAsia="Times New Roman" w:cstheme="minorHAnsi"/>
          <w:b/>
          <w:bCs/>
          <w:u w:val="single"/>
          <w:lang w:eastAsia="sl-SI"/>
        </w:rPr>
        <w:t>Evropskega sklada za regionalni razvoj (ESRR)</w:t>
      </w:r>
      <w:r w:rsidRPr="001A1DFF">
        <w:rPr>
          <w:rFonts w:eastAsia="Times New Roman" w:cstheme="minorHAnsi"/>
          <w:b/>
          <w:bCs/>
          <w:lang w:eastAsia="sl-SI"/>
        </w:rPr>
        <w:t xml:space="preserve"> </w:t>
      </w:r>
      <w:r w:rsidR="0067720D" w:rsidRPr="001A1DFF">
        <w:rPr>
          <w:rFonts w:eastAsia="Times New Roman" w:cstheme="minorHAnsi"/>
          <w:b/>
          <w:bCs/>
          <w:lang w:eastAsia="sl-SI"/>
        </w:rPr>
        <w:t xml:space="preserve"> </w:t>
      </w:r>
      <w:r w:rsidR="000554FF" w:rsidRPr="001A1DFF">
        <w:rPr>
          <w:rFonts w:eastAsia="Times New Roman" w:cstheme="minorHAnsi"/>
          <w:b/>
          <w:bCs/>
          <w:lang w:eastAsia="sl-SI"/>
        </w:rPr>
        <w:t>v upravičenih</w:t>
      </w:r>
      <w:r w:rsidRPr="001A1DFF">
        <w:rPr>
          <w:rFonts w:eastAsia="Times New Roman" w:cstheme="minorHAnsi"/>
          <w:b/>
          <w:bCs/>
          <w:lang w:eastAsia="sl-SI"/>
        </w:rPr>
        <w:t xml:space="preserve">  </w:t>
      </w:r>
      <w:r w:rsidR="000554FF" w:rsidRPr="001A1DFF">
        <w:rPr>
          <w:rFonts w:eastAsia="Times New Roman" w:cstheme="minorHAnsi"/>
          <w:b/>
          <w:bCs/>
          <w:lang w:eastAsia="sl-SI"/>
        </w:rPr>
        <w:t>naseljih na območju LAS</w:t>
      </w:r>
      <w:r w:rsidR="00B07F5C" w:rsidRPr="001A1DFF">
        <w:rPr>
          <w:rFonts w:eastAsia="Times New Roman" w:cstheme="minorHAnsi"/>
          <w:b/>
          <w:bCs/>
          <w:lang w:eastAsia="sl-SI"/>
        </w:rPr>
        <w:t xml:space="preserve"> SMP</w:t>
      </w:r>
    </w:p>
    <w:p w:rsidR="00C93632"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za</w:t>
      </w:r>
      <w:r w:rsidR="005A098B" w:rsidRPr="001A1DFF">
        <w:rPr>
          <w:rFonts w:eastAsia="Times New Roman" w:cstheme="minorHAnsi"/>
          <w:b/>
          <w:lang w:eastAsia="sl-SI"/>
        </w:rPr>
        <w:t xml:space="preserve"> leto 2016 - 2018</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b/>
          <w:bCs/>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u w:val="single"/>
          <w:lang w:eastAsia="sl-SI"/>
        </w:rPr>
      </w:pPr>
      <w:r w:rsidRPr="001A1DFF">
        <w:rPr>
          <w:rFonts w:eastAsia="Times New Roman" w:cstheme="minorHAnsi"/>
          <w:b/>
          <w:bCs/>
          <w:u w:val="single"/>
          <w:lang w:eastAsia="sl-SI"/>
        </w:rPr>
        <w:t>OSNOVNI PODATKI O JAVNEM POZIVU:</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Namen javnega poziva: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Namen javnega poziva je izbor operaciji (projektov), katerih rezultati prispevajo k uresničevanju</w:t>
      </w:r>
      <w:r w:rsidR="00BC2E74" w:rsidRPr="001A1DFF">
        <w:rPr>
          <w:rFonts w:eastAsia="Times New Roman" w:cstheme="minorHAnsi"/>
          <w:lang w:eastAsia="sl-SI"/>
        </w:rPr>
        <w:t xml:space="preserve"> ciljev opredeljenih v </w:t>
      </w:r>
      <w:r w:rsidRPr="001A1DFF">
        <w:rPr>
          <w:rFonts w:eastAsia="Times New Roman" w:cstheme="minorHAnsi"/>
          <w:lang w:eastAsia="sl-SI"/>
        </w:rPr>
        <w:t xml:space="preserve"> SLR LAS </w:t>
      </w:r>
      <w:r w:rsidR="00BC2E74" w:rsidRPr="001A1DFF">
        <w:rPr>
          <w:rFonts w:eastAsia="Times New Roman" w:cstheme="minorHAnsi"/>
          <w:lang w:eastAsia="sl-SI"/>
        </w:rPr>
        <w:t>SMP</w:t>
      </w:r>
      <w:r w:rsidR="00A45CBE" w:rsidRPr="001A1DFF">
        <w:rPr>
          <w:rFonts w:eastAsia="Times New Roman" w:cstheme="minorHAnsi"/>
          <w:lang w:eastAsia="sl-SI"/>
        </w:rPr>
        <w:t>,</w:t>
      </w:r>
      <w:r w:rsidRPr="001A1DFF">
        <w:rPr>
          <w:rFonts w:eastAsia="Times New Roman" w:cstheme="minorHAnsi"/>
          <w:lang w:eastAsia="sl-SI"/>
        </w:rPr>
        <w:t xml:space="preserve"> v letu 2016</w:t>
      </w:r>
      <w:r w:rsidR="00680AAA" w:rsidRPr="001A1DFF">
        <w:rPr>
          <w:rFonts w:eastAsia="Times New Roman" w:cstheme="minorHAnsi"/>
          <w:lang w:eastAsia="sl-SI"/>
        </w:rPr>
        <w:t xml:space="preserve">, </w:t>
      </w:r>
      <w:r w:rsidR="00A45CBE" w:rsidRPr="001A1DFF">
        <w:rPr>
          <w:rFonts w:eastAsia="Times New Roman" w:cstheme="minorHAnsi"/>
          <w:lang w:eastAsia="sl-SI"/>
        </w:rPr>
        <w:t>201</w:t>
      </w:r>
      <w:r w:rsidR="00680AAA" w:rsidRPr="001A1DFF">
        <w:rPr>
          <w:rFonts w:eastAsia="Times New Roman" w:cstheme="minorHAnsi"/>
          <w:lang w:eastAsia="sl-SI"/>
        </w:rPr>
        <w:t>7 in 2018</w:t>
      </w:r>
      <w:r w:rsidR="00A45CBE" w:rsidRPr="001A1DFF">
        <w:rPr>
          <w:rFonts w:eastAsia="Times New Roman" w:cstheme="minorHAnsi"/>
          <w:lang w:eastAsia="sl-SI"/>
        </w:rPr>
        <w:t xml:space="preserve">, </w:t>
      </w:r>
      <w:r w:rsidRPr="001A1DFF">
        <w:rPr>
          <w:rFonts w:eastAsia="Times New Roman" w:cstheme="minorHAnsi"/>
          <w:lang w:eastAsia="sl-SI"/>
        </w:rPr>
        <w:t xml:space="preserve"> in sofinanciranje njihovih stroškov za izvedbo operacije.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A45CBE"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Javni poziv je oblikovan kot to opredeljuje Uredba o izvajanju lokalnega razvoja, ki ga vodi skupnost (CL</w:t>
      </w:r>
      <w:r w:rsidR="000554FF" w:rsidRPr="001A1DFF">
        <w:rPr>
          <w:rFonts w:eastAsia="Times New Roman" w:cstheme="minorHAnsi"/>
          <w:lang w:eastAsia="sl-SI"/>
        </w:rPr>
        <w:t xml:space="preserve">LD), Uradni list RS, 46/2015, </w:t>
      </w:r>
      <w:r w:rsidR="00BC2E74" w:rsidRPr="001A1DFF">
        <w:rPr>
          <w:rFonts w:eastAsia="Times New Roman" w:cstheme="minorHAnsi"/>
          <w:lang w:eastAsia="sl-SI"/>
        </w:rPr>
        <w:t>28/2016, 73/2016</w:t>
      </w:r>
      <w:r w:rsidR="006B7453" w:rsidRPr="001A1DFF">
        <w:rPr>
          <w:rFonts w:eastAsia="Times New Roman" w:cstheme="minorHAnsi"/>
          <w:lang w:eastAsia="sl-SI"/>
        </w:rPr>
        <w:t xml:space="preserve"> </w:t>
      </w:r>
      <w:r w:rsidRPr="001A1DFF">
        <w:rPr>
          <w:rFonts w:eastAsia="Times New Roman" w:cstheme="minorHAnsi"/>
          <w:lang w:eastAsia="sl-SI"/>
        </w:rPr>
        <w:t>znotraj tega v okviru pod-ukrepa »</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w:t>
      </w:r>
    </w:p>
    <w:p w:rsidR="00A45CBE" w:rsidRPr="001A1DFF" w:rsidRDefault="00A45CBE"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Operacije, ki se bodo </w:t>
      </w:r>
      <w:r w:rsidR="00885EC2" w:rsidRPr="001A1DFF">
        <w:rPr>
          <w:rFonts w:eastAsia="Times New Roman" w:cstheme="minorHAnsi"/>
          <w:lang w:eastAsia="sl-SI"/>
        </w:rPr>
        <w:t xml:space="preserve">sofinancirale iz </w:t>
      </w:r>
      <w:r w:rsidRPr="001A1DFF">
        <w:rPr>
          <w:rFonts w:eastAsia="Times New Roman" w:cstheme="minorHAnsi"/>
          <w:lang w:eastAsia="sl-SI"/>
        </w:rPr>
        <w:t>ESRR, morajo biti osredotočene na peto prednostno naložbo v okviru devete prednostne osi O</w:t>
      </w:r>
      <w:r w:rsidR="00885EC2" w:rsidRPr="001A1DFF">
        <w:rPr>
          <w:rFonts w:eastAsia="Times New Roman" w:cstheme="minorHAnsi"/>
          <w:lang w:eastAsia="sl-SI"/>
        </w:rPr>
        <w:t>perativnega programa</w:t>
      </w:r>
      <w:r w:rsidR="007236DA" w:rsidRPr="001A1DFF">
        <w:rPr>
          <w:rFonts w:eastAsia="Times New Roman" w:cstheme="minorHAnsi"/>
          <w:lang w:eastAsia="sl-SI"/>
        </w:rPr>
        <w:t xml:space="preserve"> za izvajanje</w:t>
      </w:r>
      <w:r w:rsidRPr="001A1DFF">
        <w:rPr>
          <w:rFonts w:eastAsia="Times New Roman" w:cstheme="minorHAnsi"/>
          <w:lang w:eastAsia="sl-SI"/>
        </w:rPr>
        <w:t xml:space="preserve"> </w:t>
      </w:r>
      <w:r w:rsidR="00885EC2" w:rsidRPr="001A1DFF">
        <w:rPr>
          <w:rFonts w:eastAsia="Times New Roman" w:cstheme="minorHAnsi"/>
          <w:lang w:eastAsia="sl-SI"/>
        </w:rPr>
        <w:t xml:space="preserve">evropske kohezijske politike </w:t>
      </w:r>
      <w:r w:rsidRPr="001A1DFF">
        <w:rPr>
          <w:rFonts w:eastAsia="Times New Roman" w:cstheme="minorHAnsi"/>
          <w:lang w:eastAsia="sl-SI"/>
        </w:rPr>
        <w:t xml:space="preserve">2014 </w:t>
      </w:r>
      <w:r w:rsidR="007236DA" w:rsidRPr="001A1DFF">
        <w:rPr>
          <w:rFonts w:eastAsia="Times New Roman" w:cstheme="minorHAnsi"/>
          <w:lang w:eastAsia="sl-SI"/>
        </w:rPr>
        <w:t>–</w:t>
      </w:r>
      <w:r w:rsidRPr="001A1DFF">
        <w:rPr>
          <w:rFonts w:eastAsia="Times New Roman" w:cstheme="minorHAnsi"/>
          <w:lang w:eastAsia="sl-SI"/>
        </w:rPr>
        <w:t xml:space="preserve"> 2020</w:t>
      </w:r>
      <w:r w:rsidR="007236DA" w:rsidRPr="001A1DFF">
        <w:rPr>
          <w:rFonts w:eastAsia="Times New Roman" w:cstheme="minorHAnsi"/>
          <w:lang w:eastAsia="sl-SI"/>
        </w:rPr>
        <w:t xml:space="preserve"> ( v nadaljevanju OP EKP)</w:t>
      </w:r>
      <w:r w:rsidRPr="001A1DFF">
        <w:rPr>
          <w:rFonts w:eastAsia="Times New Roman" w:cstheme="minorHAnsi"/>
          <w:lang w:eastAsia="sl-SI"/>
        </w:rPr>
        <w:t xml:space="preserve">, ki se glasi »Vlaganja v okviru strategij lokalnega razvoja, ki ga vodi skupnost«. </w:t>
      </w:r>
    </w:p>
    <w:p w:rsidR="00636C4F" w:rsidRPr="001A1DFF" w:rsidRDefault="00636C4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lang w:eastAsia="sl-SI"/>
        </w:rPr>
        <w:t>Sr</w:t>
      </w:r>
      <w:r w:rsidR="007236DA" w:rsidRPr="001A1DFF">
        <w:rPr>
          <w:rFonts w:eastAsia="Times New Roman" w:cstheme="minorHAnsi"/>
          <w:lang w:eastAsia="sl-SI"/>
        </w:rPr>
        <w:t xml:space="preserve">edstva </w:t>
      </w:r>
      <w:r w:rsidR="00885EC2" w:rsidRPr="001A1DFF">
        <w:rPr>
          <w:rFonts w:eastAsia="Times New Roman" w:cstheme="minorHAnsi"/>
          <w:lang w:eastAsia="sl-SI"/>
        </w:rPr>
        <w:t xml:space="preserve">se dodelijo preko Posredniškega organa </w:t>
      </w:r>
      <w:r w:rsidRPr="001A1DFF">
        <w:rPr>
          <w:rFonts w:eastAsia="Times New Roman" w:cstheme="minorHAnsi"/>
          <w:lang w:eastAsia="sl-SI"/>
        </w:rPr>
        <w:t xml:space="preserve"> </w:t>
      </w:r>
      <w:r w:rsidR="007236DA" w:rsidRPr="001A1DFF">
        <w:rPr>
          <w:rFonts w:eastAsia="Times New Roman" w:cstheme="minorHAnsi"/>
          <w:b/>
          <w:lang w:eastAsia="sl-SI"/>
        </w:rPr>
        <w:t>Ministrstva</w:t>
      </w:r>
      <w:r w:rsidR="00DA5415" w:rsidRPr="001A1DFF">
        <w:rPr>
          <w:rFonts w:eastAsia="Times New Roman" w:cstheme="minorHAnsi"/>
          <w:b/>
          <w:lang w:eastAsia="sl-SI"/>
        </w:rPr>
        <w:t xml:space="preserve"> za gospodarski razvoj in tehnologijo (MGRT)</w:t>
      </w:r>
      <w:r w:rsidR="00DA5415" w:rsidRPr="001A1DFF">
        <w:rPr>
          <w:rFonts w:eastAsia="Times New Roman" w:cstheme="minorHAnsi"/>
          <w:lang w:eastAsia="sl-SI"/>
        </w:rPr>
        <w:t xml:space="preserve"> </w:t>
      </w:r>
      <w:r w:rsidR="00636C4F" w:rsidRPr="001A1DFF">
        <w:rPr>
          <w:rFonts w:eastAsia="Times New Roman" w:cstheme="minorHAnsi"/>
          <w:bCs/>
          <w:lang w:eastAsia="sl-SI"/>
        </w:rPr>
        <w:t>iz proračunskih postavk:</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160361 PN 9.5 – CLLD izvajanje – Z – EU</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160362 PN 9.5 – CLLD izvajanje – Z – Slovenska udeležba</w:t>
      </w:r>
    </w:p>
    <w:p w:rsidR="00636C4F" w:rsidRPr="001A1DFF" w:rsidRDefault="00636C4F" w:rsidP="00636C4F">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Razpoložljiva sredstva za sofinanciranje:</w:t>
      </w:r>
    </w:p>
    <w:p w:rsidR="00C93632" w:rsidRPr="001A1DFF" w:rsidRDefault="00636C4F" w:rsidP="00C93632">
      <w:pPr>
        <w:widowControl w:val="0"/>
        <w:autoSpaceDE w:val="0"/>
        <w:autoSpaceDN w:val="0"/>
        <w:adjustRightInd w:val="0"/>
        <w:spacing w:after="0"/>
        <w:contextualSpacing/>
        <w:jc w:val="both"/>
        <w:rPr>
          <w:rFonts w:eastAsia="Times New Roman" w:cstheme="minorHAnsi"/>
          <w:lang w:eastAsia="sl-SI"/>
        </w:rPr>
      </w:pPr>
      <w:r w:rsidRPr="001A1DFF">
        <w:rPr>
          <w:rFonts w:cstheme="minorHAnsi"/>
          <w:szCs w:val="24"/>
        </w:rPr>
        <w:t xml:space="preserve">Okvirna višina razpisanih nepovratnih sredstev </w:t>
      </w:r>
      <w:r w:rsidRPr="001A1DFF">
        <w:rPr>
          <w:rFonts w:eastAsia="Times New Roman" w:cstheme="minorHAnsi"/>
          <w:lang w:eastAsia="sl-SI"/>
        </w:rPr>
        <w:t xml:space="preserve">za sofinanciranje operacij </w:t>
      </w:r>
      <w:r w:rsidRPr="001A1DFF">
        <w:rPr>
          <w:rFonts w:cstheme="minorHAnsi"/>
          <w:szCs w:val="24"/>
        </w:rPr>
        <w:t>iz tega javnega poziva, ki se bo sofinanciral iz ESRR</w:t>
      </w:r>
      <w:r w:rsidR="00C93632" w:rsidRPr="001A1DFF">
        <w:rPr>
          <w:rFonts w:eastAsia="Times New Roman" w:cstheme="minorHAnsi"/>
          <w:lang w:eastAsia="sl-SI"/>
        </w:rPr>
        <w:t xml:space="preserve">, znašajo </w:t>
      </w:r>
      <w:r w:rsidRPr="001A1DFF">
        <w:rPr>
          <w:rFonts w:eastAsia="Times New Roman" w:cstheme="minorHAnsi"/>
          <w:b/>
          <w:u w:val="single"/>
          <w:lang w:eastAsia="sl-SI"/>
        </w:rPr>
        <w:t>278.000,00</w:t>
      </w:r>
      <w:r w:rsidR="00C93632" w:rsidRPr="001A1DFF">
        <w:rPr>
          <w:rFonts w:eastAsia="Times New Roman" w:cstheme="minorHAnsi"/>
          <w:b/>
          <w:u w:val="single"/>
          <w:lang w:eastAsia="sl-SI"/>
        </w:rPr>
        <w:t xml:space="preserve"> </w:t>
      </w:r>
      <w:r w:rsidR="00377437" w:rsidRPr="001A1DFF">
        <w:rPr>
          <w:rFonts w:eastAsia="Times New Roman" w:cstheme="minorHAnsi"/>
          <w:b/>
          <w:u w:val="single"/>
          <w:lang w:eastAsia="sl-SI"/>
        </w:rPr>
        <w:t>EUR</w:t>
      </w:r>
      <w:r w:rsidR="00377437" w:rsidRPr="001A1DFF">
        <w:rPr>
          <w:rFonts w:eastAsia="Times New Roman" w:cstheme="minorHAnsi"/>
          <w:lang w:eastAsia="sl-SI"/>
        </w:rPr>
        <w:t>.</w:t>
      </w:r>
    </w:p>
    <w:p w:rsidR="00B0207B" w:rsidRPr="001A1DFF" w:rsidRDefault="00B0207B" w:rsidP="00273E91">
      <w:pPr>
        <w:widowControl w:val="0"/>
        <w:autoSpaceDE w:val="0"/>
        <w:autoSpaceDN w:val="0"/>
        <w:adjustRightInd w:val="0"/>
        <w:spacing w:after="0"/>
        <w:contextualSpacing/>
        <w:jc w:val="both"/>
        <w:rPr>
          <w:rFonts w:cstheme="minorHAnsi"/>
          <w:szCs w:val="24"/>
        </w:rPr>
      </w:pPr>
    </w:p>
    <w:p w:rsidR="00273E91" w:rsidRPr="001A1DFF" w:rsidRDefault="00273E91" w:rsidP="00273E91">
      <w:pPr>
        <w:widowControl w:val="0"/>
        <w:autoSpaceDE w:val="0"/>
        <w:autoSpaceDN w:val="0"/>
        <w:adjustRightInd w:val="0"/>
        <w:spacing w:after="0"/>
        <w:contextualSpacing/>
        <w:jc w:val="both"/>
        <w:rPr>
          <w:rFonts w:cstheme="minorHAnsi"/>
          <w:szCs w:val="24"/>
        </w:rPr>
      </w:pPr>
      <w:r w:rsidRPr="001A1DFF">
        <w:rPr>
          <w:rFonts w:cstheme="minorHAnsi"/>
          <w:szCs w:val="24"/>
        </w:rPr>
        <w:t>Operacije morajo slediti ciljem Tematskih področij opredeljenih v Strategiji lokalnega razvoja LAS SMP</w:t>
      </w:r>
      <w:r w:rsidR="005D02B1" w:rsidRPr="001A1DFF">
        <w:rPr>
          <w:rFonts w:cstheme="minorHAnsi"/>
          <w:szCs w:val="24"/>
        </w:rPr>
        <w:t>, ki so:</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tematsko področje Ustvarja</w:t>
      </w:r>
      <w:r w:rsidR="005D02B1" w:rsidRPr="001A1DFF">
        <w:rPr>
          <w:rFonts w:eastAsia="Times New Roman" w:cstheme="minorHAnsi"/>
          <w:lang w:eastAsia="sl-SI"/>
        </w:rPr>
        <w:t>nje delovnih mest</w:t>
      </w:r>
      <w:r w:rsidRPr="001A1DFF">
        <w:rPr>
          <w:rFonts w:eastAsia="Times New Roman" w:cstheme="minorHAnsi"/>
          <w:lang w:eastAsia="sl-SI"/>
        </w:rPr>
        <w:t>,</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tematsko področje Razvoj os</w:t>
      </w:r>
      <w:r w:rsidR="005D02B1" w:rsidRPr="001A1DFF">
        <w:rPr>
          <w:rFonts w:eastAsia="Times New Roman" w:cstheme="minorHAnsi"/>
          <w:lang w:eastAsia="sl-SI"/>
        </w:rPr>
        <w:t>novnih storitev</w:t>
      </w:r>
      <w:r w:rsidRPr="001A1DFF">
        <w:rPr>
          <w:rFonts w:eastAsia="Times New Roman" w:cstheme="minorHAnsi"/>
          <w:lang w:eastAsia="sl-SI"/>
        </w:rPr>
        <w:t>,</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 xml:space="preserve">tematsko področje Varstvo okolja in </w:t>
      </w:r>
      <w:r w:rsidR="005D02B1" w:rsidRPr="001A1DFF">
        <w:rPr>
          <w:rFonts w:eastAsia="Times New Roman" w:cstheme="minorHAnsi"/>
          <w:lang w:eastAsia="sl-SI"/>
        </w:rPr>
        <w:t>ohranjanje narave</w:t>
      </w:r>
      <w:r w:rsidRPr="001A1DFF">
        <w:rPr>
          <w:rFonts w:eastAsia="Times New Roman" w:cstheme="minorHAnsi"/>
          <w:lang w:eastAsia="sl-SI"/>
        </w:rPr>
        <w:t>,</w:t>
      </w:r>
    </w:p>
    <w:p w:rsidR="00C93632" w:rsidRPr="001A1DFF" w:rsidRDefault="00C93632" w:rsidP="005D02B1">
      <w:pPr>
        <w:widowControl w:val="0"/>
        <w:numPr>
          <w:ilvl w:val="0"/>
          <w:numId w:val="6"/>
        </w:numPr>
        <w:autoSpaceDE w:val="0"/>
        <w:autoSpaceDN w:val="0"/>
        <w:adjustRightInd w:val="0"/>
        <w:spacing w:after="0"/>
        <w:contextualSpacing/>
        <w:jc w:val="both"/>
        <w:rPr>
          <w:rFonts w:eastAsia="Times New Roman" w:cstheme="minorHAnsi"/>
          <w:lang w:eastAsia="sl-SI"/>
        </w:rPr>
      </w:pPr>
      <w:r w:rsidRPr="001A1DFF">
        <w:rPr>
          <w:rFonts w:eastAsia="Times New Roman" w:cstheme="minorHAnsi"/>
          <w:lang w:eastAsia="sl-SI"/>
        </w:rPr>
        <w:t>tematsko področje Večja vključenost mladih, žensk in dru</w:t>
      </w:r>
      <w:r w:rsidR="005D02B1" w:rsidRPr="001A1DFF">
        <w:rPr>
          <w:rFonts w:eastAsia="Times New Roman" w:cstheme="minorHAnsi"/>
          <w:lang w:eastAsia="sl-SI"/>
        </w:rPr>
        <w:t>gih ranljivih skupin</w:t>
      </w:r>
    </w:p>
    <w:p w:rsidR="00C93632" w:rsidRPr="001A1DFF" w:rsidRDefault="00C93632" w:rsidP="00C93632">
      <w:pPr>
        <w:widowControl w:val="0"/>
        <w:autoSpaceDE w:val="0"/>
        <w:autoSpaceDN w:val="0"/>
        <w:adjustRightInd w:val="0"/>
        <w:spacing w:after="0"/>
        <w:contextualSpacing/>
        <w:jc w:val="both"/>
        <w:rPr>
          <w:rFonts w:eastAsia="Times New Roman" w:cstheme="minorHAnsi"/>
          <w:lang w:eastAsia="sl-SI"/>
        </w:rPr>
      </w:pPr>
    </w:p>
    <w:p w:rsidR="005D02B1" w:rsidRPr="001A1DFF" w:rsidRDefault="00D77168" w:rsidP="005D02B1">
      <w:pPr>
        <w:widowControl w:val="0"/>
        <w:autoSpaceDE w:val="0"/>
        <w:autoSpaceDN w:val="0"/>
        <w:adjustRightInd w:val="0"/>
        <w:spacing w:after="0"/>
        <w:contextualSpacing/>
        <w:jc w:val="both"/>
        <w:rPr>
          <w:rFonts w:cstheme="minorHAnsi"/>
          <w:szCs w:val="24"/>
        </w:rPr>
      </w:pPr>
      <w:r w:rsidRPr="001A1DFF">
        <w:rPr>
          <w:rFonts w:cstheme="minorHAnsi"/>
          <w:szCs w:val="24"/>
        </w:rPr>
        <w:t xml:space="preserve">Upoštevajoč </w:t>
      </w:r>
      <w:r w:rsidR="005D02B1" w:rsidRPr="001A1DFF">
        <w:rPr>
          <w:rFonts w:cstheme="minorHAnsi"/>
          <w:szCs w:val="24"/>
        </w:rPr>
        <w:t xml:space="preserve">Uredbo CLLD iz sklada ESRR ni mogoče pridobiti podporo za tematsko področje 3. Razvoj osnovnih storitev. </w:t>
      </w:r>
      <w:r w:rsidR="000B2082" w:rsidRPr="001A1DFF">
        <w:rPr>
          <w:rFonts w:cstheme="minorHAnsi"/>
          <w:szCs w:val="24"/>
        </w:rPr>
        <w:t>Skladno s tem je opredeljen okviren % porazdelitve razpisanih sredstev po tematskih področjih sledeča:</w:t>
      </w:r>
    </w:p>
    <w:p w:rsidR="000B2082" w:rsidRPr="001A1DFF"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1A1DFF">
        <w:rPr>
          <w:rFonts w:cstheme="minorHAnsi"/>
          <w:szCs w:val="24"/>
        </w:rPr>
        <w:t>za tematsko področje Ustvarjanje delovnih mest se nameni okvirno 32 % od vseh razpisanih sredstev</w:t>
      </w:r>
    </w:p>
    <w:p w:rsidR="000B2082" w:rsidRPr="001A1DFF"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1A1DFF">
        <w:rPr>
          <w:rFonts w:cstheme="minorHAnsi"/>
          <w:szCs w:val="24"/>
        </w:rPr>
        <w:t>za tematsko področje Varstvo okolja in ohranjanje narave se nameni okvirno 36 % od vseh razpisanih sredstev</w:t>
      </w:r>
    </w:p>
    <w:p w:rsidR="000B2082" w:rsidRPr="001A1DFF"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1A1DFF">
        <w:rPr>
          <w:rFonts w:cstheme="minorHAnsi"/>
          <w:szCs w:val="24"/>
        </w:rPr>
        <w:t>za tematsko področje Večja vključenost mladih, žensk in drugih ranljivih skupin se nameni okvirno 32 % od vseh razpisanih sredstev</w:t>
      </w:r>
    </w:p>
    <w:p w:rsidR="005D02B1" w:rsidRPr="001A1DFF" w:rsidRDefault="005D02B1" w:rsidP="00C93632">
      <w:pPr>
        <w:widowControl w:val="0"/>
        <w:autoSpaceDE w:val="0"/>
        <w:autoSpaceDN w:val="0"/>
        <w:adjustRightInd w:val="0"/>
        <w:spacing w:after="0"/>
        <w:contextualSpacing/>
        <w:jc w:val="both"/>
        <w:rPr>
          <w:rFonts w:eastAsia="Times New Roman" w:cstheme="minorHAnsi"/>
          <w:lang w:eastAsia="sl-SI"/>
        </w:rPr>
      </w:pP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r w:rsidRPr="001A1DFF">
        <w:rPr>
          <w:rFonts w:eastAsia="Times New Roman" w:cstheme="minorHAnsi"/>
          <w:lang w:eastAsia="sl-SI"/>
        </w:rPr>
        <w:t xml:space="preserve">Delež sofinanciranja stroškov za operacije sofinancirane iz </w:t>
      </w:r>
      <w:r w:rsidRPr="001A1DFF">
        <w:rPr>
          <w:rFonts w:eastAsia="Times New Roman" w:cstheme="minorHAnsi"/>
          <w:b/>
          <w:bCs/>
          <w:lang w:eastAsia="sl-SI"/>
        </w:rPr>
        <w:t>E</w:t>
      </w:r>
      <w:r w:rsidR="00DA5415" w:rsidRPr="001A1DFF">
        <w:rPr>
          <w:rFonts w:eastAsia="Times New Roman" w:cstheme="minorHAnsi"/>
          <w:b/>
          <w:bCs/>
          <w:lang w:eastAsia="sl-SI"/>
        </w:rPr>
        <w:t>SRR</w:t>
      </w:r>
      <w:r w:rsidR="005D02B1" w:rsidRPr="001A1DFF">
        <w:rPr>
          <w:rFonts w:eastAsia="Times New Roman" w:cstheme="minorHAnsi"/>
          <w:lang w:eastAsia="sl-SI"/>
        </w:rPr>
        <w:t xml:space="preserve"> znaša </w:t>
      </w:r>
      <w:r w:rsidR="00DA5415" w:rsidRPr="001A1DFF">
        <w:rPr>
          <w:rFonts w:eastAsia="Times New Roman" w:cstheme="minorHAnsi"/>
          <w:b/>
          <w:lang w:eastAsia="sl-SI"/>
        </w:rPr>
        <w:t>80</w:t>
      </w:r>
      <w:r w:rsidRPr="001A1DFF">
        <w:rPr>
          <w:rFonts w:eastAsia="Times New Roman" w:cstheme="minorHAnsi"/>
          <w:b/>
          <w:lang w:eastAsia="sl-SI"/>
        </w:rPr>
        <w:t xml:space="preserve"> % upravičenih stroškov</w:t>
      </w:r>
      <w:r w:rsidRPr="001A1DFF">
        <w:rPr>
          <w:rFonts w:eastAsia="Times New Roman" w:cstheme="minorHAnsi"/>
          <w:lang w:eastAsia="sl-SI"/>
        </w:rPr>
        <w:t xml:space="preserve"> operacije.</w:t>
      </w:r>
    </w:p>
    <w:p w:rsidR="000B2082" w:rsidRPr="001A1DFF" w:rsidRDefault="000B2082"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Objava in rok za vložitev predlogov operacij za sofinanciranje:</w:t>
      </w:r>
    </w:p>
    <w:p w:rsidR="000B2082" w:rsidRPr="001A1DFF" w:rsidRDefault="000B2082" w:rsidP="000B2082">
      <w:pPr>
        <w:widowControl w:val="0"/>
        <w:autoSpaceDE w:val="0"/>
        <w:autoSpaceDN w:val="0"/>
        <w:adjustRightInd w:val="0"/>
        <w:spacing w:after="0"/>
        <w:jc w:val="both"/>
        <w:rPr>
          <w:rFonts w:cstheme="minorHAnsi"/>
          <w:bCs/>
          <w:szCs w:val="24"/>
        </w:rPr>
      </w:pPr>
      <w:r w:rsidRPr="001A1DFF">
        <w:rPr>
          <w:rFonts w:cstheme="minorHAnsi"/>
          <w:bCs/>
          <w:szCs w:val="24"/>
        </w:rPr>
        <w:t xml:space="preserve">Javni poziv je objavljen od </w:t>
      </w:r>
      <w:r w:rsidRPr="001A1DFF">
        <w:rPr>
          <w:rFonts w:cstheme="minorHAnsi"/>
          <w:bCs/>
          <w:szCs w:val="24"/>
          <w:u w:val="single"/>
        </w:rPr>
        <w:t>1</w:t>
      </w:r>
      <w:r w:rsidR="00680AAA" w:rsidRPr="001A1DFF">
        <w:rPr>
          <w:rFonts w:cstheme="minorHAnsi"/>
          <w:bCs/>
          <w:szCs w:val="24"/>
          <w:u w:val="single"/>
        </w:rPr>
        <w:t>9</w:t>
      </w:r>
      <w:r w:rsidRPr="001A1DFF">
        <w:rPr>
          <w:rFonts w:cstheme="minorHAnsi"/>
          <w:bCs/>
          <w:szCs w:val="24"/>
          <w:u w:val="single"/>
        </w:rPr>
        <w:t>.12.2016</w:t>
      </w:r>
      <w:r w:rsidRPr="001A1DFF">
        <w:rPr>
          <w:rFonts w:cstheme="minorHAnsi"/>
          <w:bCs/>
          <w:szCs w:val="24"/>
        </w:rPr>
        <w:t xml:space="preserve"> in je odprt do 30.9.2017 oz. do porabe sredstev, pri čemer so opredeljeni naslednji presečni roki za sprejem vlog: </w:t>
      </w:r>
    </w:p>
    <w:p w:rsidR="000B2082" w:rsidRPr="001A1DFF" w:rsidRDefault="000B2082" w:rsidP="000B2082">
      <w:pPr>
        <w:pStyle w:val="Odstavekseznama"/>
        <w:widowControl w:val="0"/>
        <w:numPr>
          <w:ilvl w:val="0"/>
          <w:numId w:val="8"/>
        </w:numPr>
        <w:autoSpaceDE w:val="0"/>
        <w:autoSpaceDN w:val="0"/>
        <w:adjustRightInd w:val="0"/>
        <w:spacing w:after="0"/>
        <w:jc w:val="both"/>
        <w:rPr>
          <w:rFonts w:asciiTheme="minorHAnsi" w:hAnsiTheme="minorHAnsi" w:cstheme="minorHAnsi"/>
          <w:bCs/>
          <w:szCs w:val="24"/>
        </w:rPr>
      </w:pPr>
      <w:r w:rsidRPr="001A1DFF">
        <w:rPr>
          <w:rFonts w:asciiTheme="minorHAnsi" w:hAnsiTheme="minorHAnsi" w:cstheme="minorHAnsi"/>
          <w:bCs/>
          <w:szCs w:val="24"/>
        </w:rPr>
        <w:t>Prvi rok za sprejem vlog  je od 1</w:t>
      </w:r>
      <w:r w:rsidR="00680AAA" w:rsidRPr="001A1DFF">
        <w:rPr>
          <w:rFonts w:asciiTheme="minorHAnsi" w:hAnsiTheme="minorHAnsi" w:cstheme="minorHAnsi"/>
          <w:bCs/>
          <w:szCs w:val="24"/>
        </w:rPr>
        <w:t>9</w:t>
      </w:r>
      <w:r w:rsidRPr="001A1DFF">
        <w:rPr>
          <w:rFonts w:asciiTheme="minorHAnsi" w:hAnsiTheme="minorHAnsi" w:cstheme="minorHAnsi"/>
          <w:bCs/>
          <w:szCs w:val="24"/>
        </w:rPr>
        <w:t>.12.2016 do 28.2.2017 do 24.00 ure.</w:t>
      </w:r>
    </w:p>
    <w:p w:rsidR="000B2082" w:rsidRPr="001A1DFF" w:rsidRDefault="000B2082" w:rsidP="000B2082">
      <w:pPr>
        <w:pStyle w:val="Odstavekseznama"/>
        <w:widowControl w:val="0"/>
        <w:numPr>
          <w:ilvl w:val="0"/>
          <w:numId w:val="8"/>
        </w:numPr>
        <w:autoSpaceDE w:val="0"/>
        <w:autoSpaceDN w:val="0"/>
        <w:adjustRightInd w:val="0"/>
        <w:spacing w:after="0"/>
        <w:jc w:val="both"/>
        <w:rPr>
          <w:rFonts w:asciiTheme="minorHAnsi" w:hAnsiTheme="minorHAnsi" w:cstheme="minorHAnsi"/>
          <w:bCs/>
          <w:szCs w:val="24"/>
        </w:rPr>
      </w:pPr>
      <w:r w:rsidRPr="001A1DFF">
        <w:rPr>
          <w:rFonts w:asciiTheme="minorHAnsi" w:hAnsiTheme="minorHAnsi" w:cstheme="minorHAnsi"/>
          <w:bCs/>
          <w:szCs w:val="24"/>
        </w:rPr>
        <w:t>Drugi rok za sprejem vlog  je od 1.3.2017 do 30.5.2017 do 24.00 ure.</w:t>
      </w:r>
    </w:p>
    <w:p w:rsidR="000B2082" w:rsidRPr="00ED643D" w:rsidRDefault="000B2082" w:rsidP="000B2082">
      <w:pPr>
        <w:pStyle w:val="Odstavekseznama"/>
        <w:widowControl w:val="0"/>
        <w:numPr>
          <w:ilvl w:val="0"/>
          <w:numId w:val="8"/>
        </w:numPr>
        <w:autoSpaceDE w:val="0"/>
        <w:autoSpaceDN w:val="0"/>
        <w:adjustRightInd w:val="0"/>
        <w:spacing w:after="0"/>
        <w:jc w:val="both"/>
        <w:rPr>
          <w:rFonts w:asciiTheme="minorHAnsi" w:hAnsiTheme="minorHAnsi" w:cstheme="minorHAnsi"/>
          <w:bCs/>
          <w:szCs w:val="24"/>
        </w:rPr>
      </w:pPr>
      <w:r w:rsidRPr="00ED643D">
        <w:rPr>
          <w:rFonts w:asciiTheme="minorHAnsi" w:hAnsiTheme="minorHAnsi" w:cstheme="minorHAnsi"/>
          <w:bCs/>
          <w:szCs w:val="24"/>
        </w:rPr>
        <w:t>Tretji rok za sprejem vlog je od 1.6.2017 do 30.9.2017 do 24.00 ure.</w:t>
      </w:r>
    </w:p>
    <w:p w:rsidR="000B2082" w:rsidRPr="001A1DFF" w:rsidRDefault="000B2082" w:rsidP="000B2082">
      <w:pPr>
        <w:widowControl w:val="0"/>
        <w:autoSpaceDE w:val="0"/>
        <w:autoSpaceDN w:val="0"/>
        <w:adjustRightInd w:val="0"/>
        <w:spacing w:after="0"/>
        <w:jc w:val="both"/>
        <w:rPr>
          <w:rFonts w:cstheme="minorHAnsi"/>
          <w:bCs/>
          <w:szCs w:val="24"/>
        </w:rPr>
      </w:pPr>
    </w:p>
    <w:p w:rsidR="000B2082" w:rsidRPr="001A1DFF" w:rsidRDefault="000B2082" w:rsidP="000B2082">
      <w:pPr>
        <w:widowControl w:val="0"/>
        <w:autoSpaceDE w:val="0"/>
        <w:autoSpaceDN w:val="0"/>
        <w:adjustRightInd w:val="0"/>
        <w:spacing w:after="0"/>
        <w:jc w:val="both"/>
        <w:rPr>
          <w:rFonts w:cstheme="minorHAnsi"/>
          <w:szCs w:val="24"/>
        </w:rPr>
      </w:pPr>
      <w:r w:rsidRPr="001A1DFF">
        <w:rPr>
          <w:rFonts w:cstheme="minorHAnsi"/>
          <w:bCs/>
          <w:szCs w:val="24"/>
        </w:rPr>
        <w:t>Predloge operacij z v</w:t>
      </w:r>
      <w:r w:rsidRPr="001A1DFF">
        <w:rPr>
          <w:rFonts w:cstheme="minorHAnsi"/>
          <w:szCs w:val="24"/>
        </w:rPr>
        <w:t>logo na javni poziv je potrebno poslati v pisni in elektronski obliki priporočeno po pošti na naslov LAS, Sožitje med mestom in podeželjem, Šmartinska 134 a, 1000 Ljubljana), do navedenega opredeljenega posameznega presečnega datuma sprejemanja vlog.</w:t>
      </w:r>
    </w:p>
    <w:p w:rsidR="00C93632" w:rsidRPr="001A1DFF" w:rsidRDefault="00C93632" w:rsidP="00C93632">
      <w:pPr>
        <w:widowControl w:val="0"/>
        <w:autoSpaceDE w:val="0"/>
        <w:autoSpaceDN w:val="0"/>
        <w:adjustRightInd w:val="0"/>
        <w:spacing w:after="0"/>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b/>
          <w:lang w:eastAsia="sl-SI"/>
        </w:rPr>
      </w:pPr>
      <w:r w:rsidRPr="001A1DFF">
        <w:rPr>
          <w:rFonts w:eastAsia="Times New Roman" w:cstheme="minorHAnsi"/>
          <w:b/>
          <w:bCs/>
          <w:lang w:eastAsia="sl-SI"/>
        </w:rPr>
        <w:t>Obdobje upravičenosti</w:t>
      </w:r>
      <w:r w:rsidRPr="001A1DFF">
        <w:rPr>
          <w:rFonts w:eastAsia="Times New Roman" w:cstheme="minorHAnsi"/>
          <w:b/>
          <w:lang w:eastAsia="sl-SI"/>
        </w:rPr>
        <w:t xml:space="preserve"> </w:t>
      </w:r>
      <w:r w:rsidRPr="001A1DFF">
        <w:rPr>
          <w:rFonts w:eastAsia="Times New Roman" w:cstheme="minorHAnsi"/>
          <w:b/>
          <w:bCs/>
          <w:lang w:eastAsia="sl-SI"/>
        </w:rPr>
        <w:t>stroškov</w:t>
      </w:r>
    </w:p>
    <w:p w:rsidR="00C93632" w:rsidRPr="001A1DFF" w:rsidRDefault="00C93632" w:rsidP="00C93632">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Upravič</w:t>
      </w:r>
      <w:r w:rsidR="00411603" w:rsidRPr="001A1DFF">
        <w:rPr>
          <w:rFonts w:eastAsia="Times New Roman" w:cstheme="minorHAnsi"/>
          <w:lang w:eastAsia="sl-SI"/>
        </w:rPr>
        <w:t>eni stroški za izvedbo operacij</w:t>
      </w:r>
      <w:r w:rsidRPr="001A1DFF">
        <w:rPr>
          <w:rFonts w:eastAsia="Times New Roman" w:cstheme="minorHAnsi"/>
          <w:lang w:eastAsia="sl-SI"/>
        </w:rPr>
        <w:t xml:space="preserve"> sofinanciranih iz E</w:t>
      </w:r>
      <w:r w:rsidR="00DA5415" w:rsidRPr="001A1DFF">
        <w:rPr>
          <w:rFonts w:eastAsia="Times New Roman" w:cstheme="minorHAnsi"/>
          <w:lang w:eastAsia="sl-SI"/>
        </w:rPr>
        <w:t>SRR</w:t>
      </w:r>
      <w:r w:rsidRPr="001A1DFF">
        <w:rPr>
          <w:rFonts w:eastAsia="Times New Roman" w:cstheme="minorHAnsi"/>
          <w:lang w:eastAsia="sl-SI"/>
        </w:rPr>
        <w:t xml:space="preserve"> so stroški</w:t>
      </w:r>
      <w:r w:rsidR="00DA5415" w:rsidRPr="001A1DFF">
        <w:rPr>
          <w:rFonts w:eastAsia="Times New Roman" w:cstheme="minorHAnsi"/>
          <w:lang w:eastAsia="sl-SI"/>
        </w:rPr>
        <w:t xml:space="preserve">, </w:t>
      </w:r>
      <w:r w:rsidR="00411603" w:rsidRPr="001A1DFF">
        <w:rPr>
          <w:rFonts w:eastAsia="Times New Roman" w:cstheme="minorHAnsi"/>
          <w:lang w:eastAsia="sl-SI"/>
        </w:rPr>
        <w:t xml:space="preserve">ki nastanejo </w:t>
      </w:r>
      <w:r w:rsidR="00411603" w:rsidRPr="001A1DFF">
        <w:rPr>
          <w:rFonts w:eastAsia="Times New Roman" w:cstheme="minorHAnsi"/>
          <w:b/>
          <w:lang w:eastAsia="sl-SI"/>
        </w:rPr>
        <w:t>po oddaji vloge v</w:t>
      </w:r>
      <w:r w:rsidR="00411603" w:rsidRPr="001A1DFF">
        <w:rPr>
          <w:rFonts w:eastAsia="Times New Roman" w:cstheme="minorHAnsi"/>
          <w:b/>
          <w:u w:val="single"/>
          <w:lang w:eastAsia="sl-SI"/>
        </w:rPr>
        <w:t xml:space="preserve"> </w:t>
      </w:r>
      <w:r w:rsidR="00411603" w:rsidRPr="001A1DFF">
        <w:rPr>
          <w:rFonts w:eastAsia="Times New Roman" w:cstheme="minorHAnsi"/>
          <w:b/>
          <w:lang w:eastAsia="sl-SI"/>
        </w:rPr>
        <w:t>odobritev na MGRT.</w:t>
      </w:r>
      <w:r w:rsidR="00411603" w:rsidRPr="001A1DFF">
        <w:rPr>
          <w:rFonts w:eastAsia="Times New Roman" w:cstheme="minorHAnsi"/>
          <w:b/>
          <w:u w:val="single"/>
          <w:lang w:eastAsia="sl-SI"/>
        </w:rPr>
        <w:t xml:space="preserve"> </w:t>
      </w:r>
    </w:p>
    <w:p w:rsidR="00C93632" w:rsidRPr="001A1DFF" w:rsidRDefault="00C93632" w:rsidP="00C93632">
      <w:pPr>
        <w:widowControl w:val="0"/>
        <w:autoSpaceDE w:val="0"/>
        <w:autoSpaceDN w:val="0"/>
        <w:adjustRightInd w:val="0"/>
        <w:spacing w:after="0"/>
        <w:rPr>
          <w:rFonts w:eastAsia="Times New Roman" w:cstheme="minorHAnsi"/>
          <w:b/>
          <w:bCs/>
          <w:lang w:eastAsia="sl-SI"/>
        </w:rPr>
      </w:pPr>
    </w:p>
    <w:p w:rsidR="006E7F00" w:rsidRPr="001A1DFF" w:rsidRDefault="00C93632" w:rsidP="00C93632">
      <w:pPr>
        <w:widowControl w:val="0"/>
        <w:autoSpaceDE w:val="0"/>
        <w:autoSpaceDN w:val="0"/>
        <w:adjustRightInd w:val="0"/>
        <w:spacing w:after="0"/>
        <w:rPr>
          <w:rFonts w:eastAsia="Times New Roman" w:cstheme="minorHAnsi"/>
          <w:b/>
          <w:bCs/>
          <w:lang w:eastAsia="sl-SI"/>
        </w:rPr>
      </w:pPr>
      <w:r w:rsidRPr="001A1DFF">
        <w:rPr>
          <w:rFonts w:eastAsia="Times New Roman" w:cstheme="minorHAnsi"/>
          <w:bCs/>
          <w:lang w:eastAsia="sl-SI"/>
        </w:rPr>
        <w:t>Dodatne informacije in pojasnila o javnem</w:t>
      </w:r>
      <w:r w:rsidRPr="001A1DFF">
        <w:rPr>
          <w:rFonts w:eastAsia="Times New Roman" w:cstheme="minorHAnsi"/>
          <w:lang w:eastAsia="sl-SI"/>
        </w:rPr>
        <w:t xml:space="preserve"> </w:t>
      </w:r>
      <w:r w:rsidRPr="001A1DFF">
        <w:rPr>
          <w:rFonts w:eastAsia="Times New Roman" w:cstheme="minorHAnsi"/>
          <w:bCs/>
          <w:lang w:eastAsia="sl-SI"/>
        </w:rPr>
        <w:t>pozivu je mogoče pridobiti le po elektronski pošti na naslovu:</w:t>
      </w:r>
      <w:r w:rsidRPr="001A1DFF">
        <w:rPr>
          <w:rFonts w:eastAsia="Times New Roman" w:cstheme="minorHAnsi"/>
          <w:b/>
          <w:bCs/>
          <w:lang w:eastAsia="sl-SI"/>
        </w:rPr>
        <w:t xml:space="preserve"> </w:t>
      </w:r>
      <w:hyperlink r:id="rId9" w:history="1">
        <w:r w:rsidRPr="001A1DFF">
          <w:rPr>
            <w:rFonts w:eastAsia="Times New Roman" w:cstheme="minorHAnsi"/>
            <w:b/>
            <w:bCs/>
            <w:u w:val="single"/>
            <w:lang w:eastAsia="sl-SI"/>
          </w:rPr>
          <w:t>info@las-smp.si</w:t>
        </w:r>
      </w:hyperlink>
      <w:r w:rsidRPr="001A1DFF">
        <w:rPr>
          <w:rFonts w:eastAsia="Times New Roman" w:cstheme="minorHAnsi"/>
          <w:b/>
          <w:bCs/>
          <w:lang w:eastAsia="sl-SI"/>
        </w:rPr>
        <w:t xml:space="preserve">. </w:t>
      </w:r>
      <w:r w:rsidR="006E7F00" w:rsidRPr="001A1DFF">
        <w:rPr>
          <w:rFonts w:eastAsia="Times New Roman" w:cstheme="minorHAnsi"/>
          <w:b/>
          <w:bCs/>
          <w:lang w:eastAsia="sl-SI"/>
        </w:rPr>
        <w:t xml:space="preserve"> </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lang w:eastAsia="sl-SI"/>
        </w:rPr>
        <w:t xml:space="preserve">Zadnja vprašanja bodo možna do </w:t>
      </w:r>
      <w:r w:rsidRPr="001A1DFF">
        <w:rPr>
          <w:rFonts w:eastAsia="Times New Roman" w:cstheme="minorHAnsi"/>
          <w:b/>
          <w:u w:val="single"/>
          <w:lang w:eastAsia="sl-SI"/>
        </w:rPr>
        <w:t>treh dni pred iztekom</w:t>
      </w:r>
      <w:r w:rsidR="006E7F00" w:rsidRPr="001A1DFF">
        <w:rPr>
          <w:rFonts w:eastAsia="Times New Roman" w:cstheme="minorHAnsi"/>
          <w:b/>
          <w:u w:val="single"/>
          <w:lang w:eastAsia="sl-SI"/>
        </w:rPr>
        <w:t xml:space="preserve"> posameznega presečnega </w:t>
      </w:r>
      <w:r w:rsidRPr="001A1DFF">
        <w:rPr>
          <w:rFonts w:eastAsia="Times New Roman" w:cstheme="minorHAnsi"/>
          <w:b/>
          <w:u w:val="single"/>
          <w:lang w:eastAsia="sl-SI"/>
        </w:rPr>
        <w:t>roka za prijavo</w:t>
      </w:r>
      <w:r w:rsidRPr="001A1DFF">
        <w:rPr>
          <w:rFonts w:eastAsia="Times New Roman" w:cstheme="minorHAnsi"/>
          <w:b/>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Vprašanja in odgovori bodo dostopni tudi na spletni strani LAS: </w:t>
      </w:r>
      <w:hyperlink r:id="rId10"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lastRenderedPageBreak/>
        <w:t>PREDMET SOFINANCIRANJA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Predmet sofina</w:t>
      </w:r>
      <w:r w:rsidR="00A2242B" w:rsidRPr="001A1DFF">
        <w:rPr>
          <w:rFonts w:eastAsia="Times New Roman" w:cstheme="minorHAnsi"/>
          <w:lang w:eastAsia="sl-SI"/>
        </w:rPr>
        <w:t xml:space="preserve">nciranja so operacije </w:t>
      </w:r>
      <w:r w:rsidRPr="001A1DFF">
        <w:rPr>
          <w:rFonts w:eastAsia="Times New Roman" w:cstheme="minorHAnsi"/>
          <w:lang w:eastAsia="sl-SI"/>
        </w:rPr>
        <w:t xml:space="preserve">ki zasledujejo cilje </w:t>
      </w:r>
      <w:r w:rsidR="00411603" w:rsidRPr="001A1DFF">
        <w:rPr>
          <w:rFonts w:eastAsia="Times New Roman" w:cstheme="minorHAnsi"/>
          <w:lang w:eastAsia="sl-SI"/>
        </w:rPr>
        <w:t>ESRR</w:t>
      </w:r>
      <w:r w:rsidR="00186A82" w:rsidRPr="001A1DFF">
        <w:rPr>
          <w:rFonts w:eastAsia="Times New Roman" w:cstheme="minorHAnsi"/>
          <w:lang w:eastAsia="sl-SI"/>
        </w:rPr>
        <w:t xml:space="preserve"> </w:t>
      </w:r>
      <w:r w:rsidRPr="001A1DFF">
        <w:rPr>
          <w:rFonts w:eastAsia="Times New Roman" w:cstheme="minorHAnsi"/>
          <w:lang w:eastAsia="sl-SI"/>
        </w:rPr>
        <w:t>ter prispevajo k ciljem in ukrepom SLR LAS Sožitje med mestom in podeželjem za obdobje 2014 - 2020:</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1A1DFF" w:rsidRPr="001A1DFF" w:rsidTr="000E61E8">
        <w:trPr>
          <w:trHeight w:val="546"/>
        </w:trPr>
        <w:tc>
          <w:tcPr>
            <w:tcW w:w="2093"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TEMATSKO PODROČJE</w:t>
            </w:r>
          </w:p>
        </w:tc>
        <w:tc>
          <w:tcPr>
            <w:tcW w:w="3118"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SPLOŠNI CILJ</w:t>
            </w:r>
          </w:p>
        </w:tc>
        <w:tc>
          <w:tcPr>
            <w:tcW w:w="4536"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UKREP</w:t>
            </w:r>
          </w:p>
        </w:tc>
      </w:tr>
      <w:tr w:rsidR="001A1DFF" w:rsidRPr="001A1DFF" w:rsidTr="000E61E8">
        <w:trPr>
          <w:trHeight w:val="327"/>
        </w:trPr>
        <w:tc>
          <w:tcPr>
            <w:tcW w:w="2093" w:type="dxa"/>
            <w:vMerge w:val="restart"/>
            <w:vAlign w:val="center"/>
          </w:tcPr>
          <w:p w:rsidR="006E7F00" w:rsidRPr="001A1DFF" w:rsidRDefault="006E7F00" w:rsidP="000E61E8">
            <w:pPr>
              <w:widowControl w:val="0"/>
              <w:autoSpaceDE w:val="0"/>
              <w:autoSpaceDN w:val="0"/>
              <w:adjustRightInd w:val="0"/>
              <w:spacing w:after="0"/>
              <w:contextualSpacing/>
              <w:jc w:val="center"/>
              <w:rPr>
                <w:rFonts w:cstheme="minorHAnsi"/>
                <w:b/>
                <w:szCs w:val="24"/>
              </w:rPr>
            </w:pPr>
            <w:r w:rsidRPr="001A1DFF">
              <w:rPr>
                <w:rFonts w:cstheme="minorHAnsi"/>
                <w:b/>
                <w:szCs w:val="24"/>
              </w:rPr>
              <w:t>1. USTVARJANJE NOVIH DELOVNIH MEST</w:t>
            </w:r>
          </w:p>
        </w:tc>
        <w:tc>
          <w:tcPr>
            <w:tcW w:w="3118" w:type="dxa"/>
            <w:vMerge w:val="restart"/>
            <w:vAlign w:val="center"/>
          </w:tcPr>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U 1.1: Ustvarjanje pogojev za nova delovna mesta z različnimi oblikami izobraževanj in usposabljanj.</w:t>
            </w:r>
          </w:p>
        </w:tc>
      </w:tr>
      <w:tr w:rsidR="001A1DFF" w:rsidRPr="001A1DFF" w:rsidTr="000E61E8">
        <w:trPr>
          <w:trHeight w:val="262"/>
        </w:trPr>
        <w:tc>
          <w:tcPr>
            <w:tcW w:w="2093" w:type="dxa"/>
            <w:vMerge/>
          </w:tcPr>
          <w:p w:rsidR="006E7F00" w:rsidRPr="001A1DFF" w:rsidRDefault="006E7F00" w:rsidP="000E61E8">
            <w:pPr>
              <w:widowControl w:val="0"/>
              <w:autoSpaceDE w:val="0"/>
              <w:autoSpaceDN w:val="0"/>
              <w:adjustRightInd w:val="0"/>
              <w:spacing w:after="0"/>
              <w:contextualSpacing/>
              <w:rPr>
                <w:rFonts w:cstheme="minorHAnsi"/>
                <w:b/>
                <w:szCs w:val="24"/>
              </w:rPr>
            </w:pPr>
          </w:p>
        </w:tc>
        <w:tc>
          <w:tcPr>
            <w:tcW w:w="3118" w:type="dxa"/>
            <w:vMerge/>
          </w:tcPr>
          <w:p w:rsidR="006E7F00" w:rsidRPr="001A1DFF" w:rsidRDefault="006E7F00" w:rsidP="000E61E8">
            <w:pPr>
              <w:widowControl w:val="0"/>
              <w:autoSpaceDE w:val="0"/>
              <w:autoSpaceDN w:val="0"/>
              <w:adjustRightInd w:val="0"/>
              <w:spacing w:after="0"/>
              <w:rPr>
                <w:rFonts w:cstheme="minorHAnsi"/>
                <w:b/>
                <w:szCs w:val="24"/>
              </w:rPr>
            </w:pPr>
          </w:p>
        </w:tc>
        <w:tc>
          <w:tcPr>
            <w:tcW w:w="4536" w:type="dxa"/>
          </w:tcPr>
          <w:p w:rsidR="006E7F00" w:rsidRPr="001A1DFF" w:rsidRDefault="006E7F00" w:rsidP="000E61E8">
            <w:pPr>
              <w:widowControl w:val="0"/>
              <w:autoSpaceDE w:val="0"/>
              <w:autoSpaceDN w:val="0"/>
              <w:adjustRightInd w:val="0"/>
              <w:spacing w:after="0"/>
              <w:rPr>
                <w:rFonts w:cstheme="minorHAnsi"/>
                <w:b/>
                <w:szCs w:val="24"/>
              </w:rPr>
            </w:pPr>
          </w:p>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U 1.2: Spodbujati in omogočiti uresničevanje novih poslovnih zamisli.</w:t>
            </w:r>
          </w:p>
        </w:tc>
      </w:tr>
      <w:tr w:rsidR="001A1DFF" w:rsidRPr="001A1DFF" w:rsidTr="000E61E8">
        <w:trPr>
          <w:trHeight w:val="1853"/>
        </w:trPr>
        <w:tc>
          <w:tcPr>
            <w:tcW w:w="2093" w:type="dxa"/>
            <w:vAlign w:val="center"/>
          </w:tcPr>
          <w:p w:rsidR="006355A1" w:rsidRPr="001A1DFF" w:rsidRDefault="006355A1" w:rsidP="000E61E8">
            <w:pPr>
              <w:widowControl w:val="0"/>
              <w:autoSpaceDE w:val="0"/>
              <w:autoSpaceDN w:val="0"/>
              <w:adjustRightInd w:val="0"/>
              <w:spacing w:after="0"/>
              <w:contextualSpacing/>
              <w:jc w:val="center"/>
              <w:rPr>
                <w:rFonts w:cstheme="minorHAnsi"/>
                <w:b/>
                <w:szCs w:val="24"/>
              </w:rPr>
            </w:pPr>
            <w:r w:rsidRPr="001A1DFF">
              <w:rPr>
                <w:rFonts w:cstheme="minorHAnsi"/>
                <w:b/>
                <w:szCs w:val="24"/>
              </w:rPr>
              <w:t>3. VARSTVO OKOLJA IN OHRANJANJE NARAVE</w:t>
            </w:r>
          </w:p>
        </w:tc>
        <w:tc>
          <w:tcPr>
            <w:tcW w:w="3118" w:type="dxa"/>
            <w:vAlign w:val="center"/>
          </w:tcPr>
          <w:p w:rsidR="006355A1" w:rsidRPr="001A1DFF" w:rsidRDefault="006355A1" w:rsidP="000E61E8">
            <w:pPr>
              <w:pStyle w:val="Odstavekseznama"/>
              <w:widowControl w:val="0"/>
              <w:autoSpaceDE w:val="0"/>
              <w:autoSpaceDN w:val="0"/>
              <w:adjustRightInd w:val="0"/>
              <w:spacing w:after="0"/>
              <w:ind w:left="0"/>
              <w:rPr>
                <w:rFonts w:asciiTheme="minorHAnsi" w:hAnsiTheme="minorHAnsi" w:cstheme="minorHAnsi"/>
                <w:b/>
                <w:szCs w:val="24"/>
              </w:rPr>
            </w:pPr>
            <w:r w:rsidRPr="001A1DFF">
              <w:rPr>
                <w:rFonts w:asciiTheme="minorHAnsi" w:hAnsiTheme="minorHAnsi" w:cstheme="minorHAnsi"/>
                <w:b/>
                <w:szCs w:val="24"/>
              </w:rPr>
              <w:t>Ohranjati in obvarovati pestre naravne danosti in biotsko raznolikost na podeželju ter zagotavljati podporo za zmanjševanje in odpravljanje negativnih vplivov na okolje.</w:t>
            </w:r>
          </w:p>
        </w:tc>
        <w:tc>
          <w:tcPr>
            <w:tcW w:w="4536" w:type="dxa"/>
          </w:tcPr>
          <w:p w:rsidR="006355A1" w:rsidRPr="001A1DFF" w:rsidRDefault="006355A1" w:rsidP="006355A1">
            <w:pPr>
              <w:widowControl w:val="0"/>
              <w:autoSpaceDE w:val="0"/>
              <w:autoSpaceDN w:val="0"/>
              <w:adjustRightInd w:val="0"/>
              <w:rPr>
                <w:rFonts w:cstheme="minorHAnsi"/>
                <w:b/>
                <w:strike/>
                <w:szCs w:val="24"/>
              </w:rPr>
            </w:pPr>
            <w:r w:rsidRPr="001A1DFF">
              <w:rPr>
                <w:rFonts w:cstheme="minorHAnsi"/>
                <w:b/>
                <w:szCs w:val="24"/>
              </w:rPr>
              <w:t xml:space="preserve">U 3.2: </w:t>
            </w:r>
            <w:r w:rsidRPr="001A1DFF">
              <w:rPr>
                <w:rFonts w:cstheme="minorHAnsi"/>
                <w:b/>
                <w:bCs/>
              </w:rPr>
              <w:t>Spodbujanje naravi prijaznega in okoljsko ter energetsko odgovornega življenja v urbanih naseljih.</w:t>
            </w:r>
          </w:p>
        </w:tc>
      </w:tr>
      <w:tr w:rsidR="001A1DFF" w:rsidRPr="001A1DFF" w:rsidTr="006355A1">
        <w:trPr>
          <w:trHeight w:val="773"/>
        </w:trPr>
        <w:tc>
          <w:tcPr>
            <w:tcW w:w="2093" w:type="dxa"/>
            <w:vMerge w:val="restart"/>
            <w:vAlign w:val="center"/>
          </w:tcPr>
          <w:p w:rsidR="006355A1" w:rsidRPr="001A1DFF" w:rsidRDefault="006355A1" w:rsidP="000E61E8">
            <w:pPr>
              <w:widowControl w:val="0"/>
              <w:autoSpaceDE w:val="0"/>
              <w:autoSpaceDN w:val="0"/>
              <w:adjustRightInd w:val="0"/>
              <w:spacing w:after="0"/>
              <w:contextualSpacing/>
              <w:jc w:val="center"/>
              <w:rPr>
                <w:rFonts w:cstheme="minorHAnsi"/>
                <w:szCs w:val="24"/>
              </w:rPr>
            </w:pPr>
            <w:r w:rsidRPr="001A1DFF">
              <w:rPr>
                <w:rFonts w:cstheme="minorHAnsi"/>
                <w:b/>
                <w:szCs w:val="24"/>
              </w:rPr>
              <w:t>4. VEČJA VKLJUČENOST MLADIH, ŽENSK IN DRUGIH RANLJIVIH SKUPIN</w:t>
            </w:r>
          </w:p>
        </w:tc>
        <w:tc>
          <w:tcPr>
            <w:tcW w:w="3118" w:type="dxa"/>
            <w:vMerge w:val="restart"/>
            <w:vAlign w:val="center"/>
          </w:tcPr>
          <w:p w:rsidR="006355A1" w:rsidRPr="001A1DFF" w:rsidRDefault="003B4877" w:rsidP="000E61E8">
            <w:pPr>
              <w:pStyle w:val="Odstavekseznama"/>
              <w:widowControl w:val="0"/>
              <w:autoSpaceDE w:val="0"/>
              <w:autoSpaceDN w:val="0"/>
              <w:adjustRightInd w:val="0"/>
              <w:spacing w:after="0"/>
              <w:ind w:left="0"/>
              <w:rPr>
                <w:rFonts w:asciiTheme="minorHAnsi" w:hAnsiTheme="minorHAnsi" w:cstheme="minorHAnsi"/>
                <w:b/>
                <w:szCs w:val="24"/>
              </w:rPr>
            </w:pPr>
            <w:r w:rsidRPr="001A1DFF">
              <w:rPr>
                <w:rFonts w:asciiTheme="minorHAnsi" w:hAnsiTheme="minorHAnsi" w:cstheme="minorHAnsi"/>
                <w:b/>
                <w:szCs w:val="24"/>
              </w:rPr>
              <w:t>Omogočiti čim večjo socialno vključenost in enakost prebivalcev tako na podeželju kot v urbanih naseljih.</w:t>
            </w:r>
          </w:p>
        </w:tc>
        <w:tc>
          <w:tcPr>
            <w:tcW w:w="4536" w:type="dxa"/>
          </w:tcPr>
          <w:p w:rsidR="006355A1" w:rsidRPr="001A1DFF" w:rsidRDefault="006355A1" w:rsidP="000E61E8">
            <w:pPr>
              <w:widowControl w:val="0"/>
              <w:autoSpaceDE w:val="0"/>
              <w:autoSpaceDN w:val="0"/>
              <w:adjustRightInd w:val="0"/>
              <w:spacing w:after="0"/>
              <w:rPr>
                <w:rFonts w:cstheme="minorHAnsi"/>
                <w:b/>
                <w:szCs w:val="24"/>
              </w:rPr>
            </w:pPr>
            <w:r w:rsidRPr="001A1DFF">
              <w:rPr>
                <w:rFonts w:cstheme="minorHAnsi"/>
                <w:b/>
                <w:szCs w:val="24"/>
              </w:rPr>
              <w:t>U 4.1: Povečati pestrost in kakovost storitev za socialno vključenost in enakost prebivalcev.</w:t>
            </w:r>
          </w:p>
        </w:tc>
      </w:tr>
      <w:tr w:rsidR="006355A1" w:rsidRPr="001A1DFF" w:rsidTr="000E61E8">
        <w:trPr>
          <w:trHeight w:val="772"/>
        </w:trPr>
        <w:tc>
          <w:tcPr>
            <w:tcW w:w="2093" w:type="dxa"/>
            <w:vMerge/>
            <w:vAlign w:val="center"/>
          </w:tcPr>
          <w:p w:rsidR="006355A1" w:rsidRPr="001A1DFF" w:rsidRDefault="006355A1" w:rsidP="000E61E8">
            <w:pPr>
              <w:widowControl w:val="0"/>
              <w:autoSpaceDE w:val="0"/>
              <w:autoSpaceDN w:val="0"/>
              <w:adjustRightInd w:val="0"/>
              <w:spacing w:after="0"/>
              <w:contextualSpacing/>
              <w:jc w:val="center"/>
              <w:rPr>
                <w:rFonts w:cstheme="minorHAnsi"/>
                <w:b/>
                <w:szCs w:val="24"/>
              </w:rPr>
            </w:pPr>
          </w:p>
        </w:tc>
        <w:tc>
          <w:tcPr>
            <w:tcW w:w="3118" w:type="dxa"/>
            <w:vMerge/>
            <w:vAlign w:val="center"/>
          </w:tcPr>
          <w:p w:rsidR="006355A1" w:rsidRPr="001A1DFF" w:rsidRDefault="006355A1" w:rsidP="000E61E8">
            <w:pPr>
              <w:pStyle w:val="Odstavekseznama"/>
              <w:widowControl w:val="0"/>
              <w:autoSpaceDE w:val="0"/>
              <w:autoSpaceDN w:val="0"/>
              <w:adjustRightInd w:val="0"/>
              <w:spacing w:after="0"/>
              <w:ind w:left="0"/>
              <w:rPr>
                <w:rFonts w:asciiTheme="minorHAnsi" w:hAnsiTheme="minorHAnsi" w:cstheme="minorHAnsi"/>
                <w:b/>
                <w:szCs w:val="24"/>
              </w:rPr>
            </w:pPr>
          </w:p>
        </w:tc>
        <w:tc>
          <w:tcPr>
            <w:tcW w:w="4536" w:type="dxa"/>
          </w:tcPr>
          <w:p w:rsidR="006355A1" w:rsidRPr="001A1DFF" w:rsidRDefault="006355A1" w:rsidP="000E61E8">
            <w:pPr>
              <w:widowControl w:val="0"/>
              <w:autoSpaceDE w:val="0"/>
              <w:autoSpaceDN w:val="0"/>
              <w:adjustRightInd w:val="0"/>
              <w:spacing w:after="0"/>
              <w:rPr>
                <w:rFonts w:cstheme="minorHAnsi"/>
                <w:b/>
                <w:szCs w:val="24"/>
              </w:rPr>
            </w:pPr>
            <w:r w:rsidRPr="001A1DFF">
              <w:rPr>
                <w:rFonts w:cstheme="minorHAnsi"/>
                <w:b/>
                <w:szCs w:val="24"/>
              </w:rPr>
              <w:t xml:space="preserve">U 4.2: </w:t>
            </w:r>
            <w:r w:rsidRPr="001A1DFF">
              <w:rPr>
                <w:rFonts w:cstheme="minorHAnsi"/>
                <w:b/>
                <w:bCs/>
                <w:szCs w:val="24"/>
              </w:rPr>
              <w:t>Zagotoviti aktivno in zdravo življenje otrok in starostnikov</w:t>
            </w:r>
            <w:r w:rsidR="003B4877" w:rsidRPr="001A1DFF">
              <w:rPr>
                <w:rFonts w:cstheme="minorHAnsi"/>
                <w:b/>
                <w:bCs/>
                <w:szCs w:val="24"/>
              </w:rPr>
              <w:t>.</w:t>
            </w:r>
          </w:p>
        </w:tc>
      </w:tr>
    </w:tbl>
    <w:p w:rsidR="006E7F00" w:rsidRPr="001A1DFF" w:rsidRDefault="006E7F0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Vsaka operacijo se lahko predlaga za sofinanciranje samo v okviru </w:t>
      </w:r>
      <w:r w:rsidRPr="001A1DFF">
        <w:rPr>
          <w:rFonts w:eastAsia="Times New Roman" w:cstheme="minorHAnsi"/>
          <w:b/>
          <w:lang w:eastAsia="sl-SI"/>
        </w:rPr>
        <w:t>enega izbranega</w:t>
      </w:r>
      <w:r w:rsidRPr="001A1DFF">
        <w:rPr>
          <w:rFonts w:eastAsia="Times New Roman" w:cstheme="minorHAnsi"/>
          <w:lang w:eastAsia="sl-SI"/>
        </w:rPr>
        <w:t xml:space="preserve"> ukrepa, lahko pa vpliva na doseganje več ciljev ali naslavlja več tematskih področij. Za vse operacije veljajo določena splošna pravila za sofinanciranje (točka </w:t>
      </w:r>
      <w:r w:rsidRPr="001A1DFF">
        <w:rPr>
          <w:rFonts w:eastAsia="Times New Roman" w:cstheme="minorHAnsi"/>
          <w:lang w:eastAsia="sl-SI"/>
        </w:rPr>
        <w:fldChar w:fldCharType="begin"/>
      </w:r>
      <w:r w:rsidRPr="001A1DFF">
        <w:rPr>
          <w:rFonts w:eastAsia="Times New Roman" w:cstheme="minorHAnsi"/>
          <w:lang w:eastAsia="sl-SI"/>
        </w:rPr>
        <w:instrText xml:space="preserve"> REF _Ref433575272 \r \h  \* MERGEFORMAT </w:instrText>
      </w:r>
      <w:r w:rsidRPr="001A1DFF">
        <w:rPr>
          <w:rFonts w:eastAsia="Times New Roman" w:cstheme="minorHAnsi"/>
          <w:lang w:eastAsia="sl-SI"/>
        </w:rPr>
      </w:r>
      <w:r w:rsidRPr="001A1DFF">
        <w:rPr>
          <w:rFonts w:eastAsia="Times New Roman" w:cstheme="minorHAnsi"/>
          <w:lang w:eastAsia="sl-SI"/>
        </w:rPr>
        <w:fldChar w:fldCharType="separate"/>
      </w:r>
      <w:r w:rsidR="001B76C6">
        <w:rPr>
          <w:rFonts w:eastAsia="Times New Roman" w:cstheme="minorHAnsi"/>
          <w:lang w:eastAsia="sl-SI"/>
        </w:rPr>
        <w:t>3</w:t>
      </w:r>
      <w:r w:rsidRPr="001A1DFF">
        <w:rPr>
          <w:rFonts w:eastAsia="Times New Roman" w:cstheme="minorHAnsi"/>
          <w:lang w:eastAsia="sl-SI"/>
        </w:rPr>
        <w:fldChar w:fldCharType="end"/>
      </w:r>
      <w:r w:rsidRPr="001A1DFF">
        <w:rPr>
          <w:rFonts w:eastAsia="Times New Roman" w:cstheme="minorHAnsi"/>
          <w:lang w:eastAsia="sl-SI"/>
        </w:rPr>
        <w:t>. tega javnega poziva), določena pravila pa so odvisna od specifičnih pogojev posameznega ukrepa, ki  so opredeljeni v točki 5. In 6. tega javnega poziva.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Vodilni partner nudi </w:t>
      </w:r>
      <w:r w:rsidR="00411603" w:rsidRPr="001A1DFF">
        <w:rPr>
          <w:rFonts w:eastAsia="Times New Roman" w:cstheme="minorHAnsi"/>
          <w:lang w:eastAsia="sl-SI"/>
        </w:rPr>
        <w:t>zainteresiranim</w:t>
      </w:r>
      <w:r w:rsidRPr="001A1DFF">
        <w:rPr>
          <w:rFonts w:eastAsia="Times New Roman" w:cstheme="minorHAnsi"/>
          <w:strike/>
          <w:lang w:eastAsia="sl-SI"/>
        </w:rPr>
        <w:t>,</w:t>
      </w:r>
      <w:r w:rsidRPr="001A1DFF">
        <w:rPr>
          <w:rFonts w:eastAsia="Times New Roman" w:cstheme="minorHAnsi"/>
          <w:lang w:eastAsia="sl-SI"/>
        </w:rPr>
        <w:t xml:space="preserve"> ki želijo predlagati operacijo za sofinanciranje, dodatne informacije in pomoč pri oblikovanju in prijavi operacije. Kontaktne informacije so določene v točki 8.</w:t>
      </w:r>
    </w:p>
    <w:p w:rsidR="003B4877" w:rsidRPr="001A1DFF" w:rsidRDefault="003B4877"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0" w:name="_Ref433575272"/>
      <w:r w:rsidRPr="001A1DFF">
        <w:rPr>
          <w:rFonts w:eastAsia="Times New Roman" w:cstheme="minorHAnsi"/>
          <w:b/>
          <w:bCs/>
          <w:u w:val="single"/>
          <w:lang w:eastAsia="sl-SI"/>
        </w:rPr>
        <w:t>SPLOŠNA PRAVILA ZA SOFINANCIRANJE OPERACIJ</w:t>
      </w:r>
      <w:bookmarkEnd w:id="0"/>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cstheme="minorHAnsi"/>
          <w:bCs/>
        </w:rPr>
        <w:t xml:space="preserve">Za izvedbo tega javnega poziva se uporablja </w:t>
      </w:r>
      <w:r w:rsidRPr="001A1DFF">
        <w:rPr>
          <w:rFonts w:cstheme="minorHAnsi"/>
          <w:bCs/>
          <w:i/>
        </w:rPr>
        <w:t>Uredba o izvajanju lokalnega razvoja, ki ga vodi skupnost, v programskem obdobju 2014-2020</w:t>
      </w:r>
      <w:r w:rsidRPr="001A1DFF">
        <w:rPr>
          <w:rFonts w:cstheme="minorHAnsi"/>
          <w:bCs/>
        </w:rPr>
        <w:t xml:space="preserve"> (Uradni list RS št. 42/1</w:t>
      </w:r>
      <w:r w:rsidR="00411603" w:rsidRPr="001A1DFF">
        <w:rPr>
          <w:rFonts w:cstheme="minorHAnsi"/>
          <w:bCs/>
        </w:rPr>
        <w:t>5</w:t>
      </w:r>
      <w:r w:rsidR="006B7453" w:rsidRPr="001A1DFF">
        <w:rPr>
          <w:rFonts w:cstheme="minorHAnsi"/>
          <w:bCs/>
        </w:rPr>
        <w:t xml:space="preserve"> in 28/2016</w:t>
      </w:r>
      <w:r w:rsidR="00411603" w:rsidRPr="001A1DFF">
        <w:rPr>
          <w:rFonts w:cstheme="minorHAnsi"/>
          <w:bCs/>
        </w:rPr>
        <w:t>) – v nadaljevanju Uredba CLLD</w:t>
      </w:r>
      <w:r w:rsidR="006B7453" w:rsidRPr="001A1DFF">
        <w:rPr>
          <w:rFonts w:cstheme="minorHAnsi"/>
          <w:bCs/>
        </w:rPr>
        <w:t>.</w:t>
      </w:r>
      <w:r w:rsidR="00411603" w:rsidRPr="001A1DFF">
        <w:rPr>
          <w:rFonts w:cstheme="minorHAnsi"/>
          <w:bCs/>
        </w:rPr>
        <w:t xml:space="preserve"> </w:t>
      </w:r>
      <w:r w:rsidRPr="001A1DFF">
        <w:rPr>
          <w:rFonts w:eastAsia="Times New Roman" w:cstheme="minorHAnsi"/>
          <w:bCs/>
          <w:lang w:eastAsia="sl-SI"/>
        </w:rPr>
        <w:t xml:space="preserve">Podlaga in okvir za izvedbo tega javnega poziva je potrjena Strategija lokalnega razvoja </w:t>
      </w:r>
      <w:r w:rsidR="003B4877" w:rsidRPr="001A1DFF">
        <w:rPr>
          <w:rFonts w:eastAsia="Times New Roman" w:cstheme="minorHAnsi"/>
          <w:bCs/>
          <w:lang w:eastAsia="sl-SI"/>
        </w:rPr>
        <w:t>na območju</w:t>
      </w:r>
      <w:r w:rsidRPr="001A1DFF">
        <w:rPr>
          <w:rFonts w:eastAsia="Times New Roman" w:cstheme="minorHAnsi"/>
          <w:bCs/>
          <w:lang w:eastAsia="sl-SI"/>
        </w:rPr>
        <w:t xml:space="preserve"> </w:t>
      </w:r>
      <w:r w:rsidRPr="001A1DFF">
        <w:rPr>
          <w:rFonts w:eastAsia="Times New Roman" w:cstheme="minorHAnsi"/>
          <w:lang w:eastAsia="sl-SI"/>
        </w:rPr>
        <w:t xml:space="preserve">LAS Sožitje med mestom in podeželjem 2014 -2020, ki je dostopna na: </w:t>
      </w:r>
      <w:hyperlink r:id="rId11"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411603" w:rsidRPr="001A1DFF" w:rsidRDefault="00411603"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Upravičenci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
          <w:lang w:eastAsia="sl-SI"/>
        </w:rPr>
        <w:t xml:space="preserve">Upravičenci </w:t>
      </w:r>
      <w:r w:rsidRPr="001A1DFF">
        <w:rPr>
          <w:rFonts w:eastAsia="Times New Roman" w:cstheme="minorHAnsi"/>
          <w:lang w:eastAsia="sl-SI"/>
        </w:rPr>
        <w:t xml:space="preserve">do podpore so </w:t>
      </w:r>
      <w:r w:rsidR="00846E32" w:rsidRPr="001A1DFF">
        <w:rPr>
          <w:rFonts w:eastAsia="Times New Roman" w:cstheme="minorHAnsi"/>
          <w:lang w:eastAsia="sl-SI"/>
        </w:rPr>
        <w:t>pravne osebe javnega in zasebnega prava, nevladne organizacije</w:t>
      </w:r>
      <w:r w:rsidR="00C22BE3" w:rsidRPr="001A1DFF">
        <w:rPr>
          <w:rFonts w:eastAsia="Times New Roman" w:cstheme="minorHAnsi"/>
          <w:lang w:eastAsia="sl-SI"/>
        </w:rPr>
        <w:t>, i</w:t>
      </w:r>
      <w:r w:rsidR="00846E32" w:rsidRPr="001A1DFF">
        <w:rPr>
          <w:rFonts w:eastAsia="Times New Roman" w:cstheme="minorHAnsi"/>
          <w:lang w:eastAsia="sl-SI"/>
        </w:rPr>
        <w:t>nstitucije region</w:t>
      </w:r>
      <w:r w:rsidR="003B4877" w:rsidRPr="001A1DFF">
        <w:rPr>
          <w:rFonts w:eastAsia="Times New Roman" w:cstheme="minorHAnsi"/>
          <w:lang w:eastAsia="sl-SI"/>
        </w:rPr>
        <w:t>alnega razvoja in samostojni podjetniki</w:t>
      </w:r>
      <w:r w:rsidR="00846E32" w:rsidRPr="001A1DFF">
        <w:rPr>
          <w:rFonts w:eastAsia="Times New Roman" w:cstheme="minorHAnsi"/>
          <w:lang w:eastAsia="sl-SI"/>
        </w:rPr>
        <w:t>.</w:t>
      </w:r>
      <w:r w:rsidRPr="001A1DFF">
        <w:rPr>
          <w:rFonts w:eastAsia="Times New Roman" w:cstheme="minorHAnsi"/>
          <w:lang w:eastAsia="sl-SI"/>
        </w:rPr>
        <w:t xml:space="preserve"> </w:t>
      </w:r>
      <w:r w:rsidR="003B4877" w:rsidRPr="001A1DFF">
        <w:rPr>
          <w:rFonts w:eastAsia="Times New Roman" w:cstheme="minorHAnsi"/>
          <w:u w:val="single"/>
          <w:lang w:eastAsia="sl-SI"/>
        </w:rPr>
        <w:t>Fizične osebe niso upravičene do podpore.</w:t>
      </w:r>
    </w:p>
    <w:p w:rsidR="005B1850" w:rsidRPr="001A1DFF" w:rsidRDefault="005B185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Upravičenci lahko predlagajo za sofinanciranje operacije, ki jih bodo izvedli sami ali s partnerji. Partner je lahko drug upravičenec, ki v operaciji aktivno sodelujejo in delno pokriv</w:t>
      </w:r>
      <w:r w:rsidR="00186A82" w:rsidRPr="001A1DFF">
        <w:rPr>
          <w:rFonts w:eastAsia="Times New Roman" w:cstheme="minorHAnsi"/>
          <w:lang w:eastAsia="sl-SI"/>
        </w:rPr>
        <w:t>a stroške operacije</w:t>
      </w:r>
      <w:r w:rsidRPr="001A1DFF">
        <w:rPr>
          <w:rFonts w:eastAsia="Times New Roman" w:cstheme="minorHAnsi"/>
          <w:lang w:eastAsia="sl-SI"/>
        </w:rPr>
        <w:t>.</w:t>
      </w:r>
    </w:p>
    <w:p w:rsidR="008954E0" w:rsidRPr="001A1DFF" w:rsidRDefault="008954E0" w:rsidP="00C93632">
      <w:pPr>
        <w:widowControl w:val="0"/>
        <w:autoSpaceDE w:val="0"/>
        <w:autoSpaceDN w:val="0"/>
        <w:adjustRightInd w:val="0"/>
        <w:spacing w:after="0"/>
        <w:jc w:val="both"/>
        <w:rPr>
          <w:rFonts w:eastAsia="Times New Roman" w:cstheme="minorHAnsi"/>
          <w:lang w:eastAsia="sl-SI"/>
        </w:rPr>
      </w:pPr>
    </w:p>
    <w:p w:rsidR="008954E0" w:rsidRPr="001A1DFF" w:rsidRDefault="008954E0" w:rsidP="00C93632">
      <w:pPr>
        <w:widowControl w:val="0"/>
        <w:autoSpaceDE w:val="0"/>
        <w:autoSpaceDN w:val="0"/>
        <w:adjustRightInd w:val="0"/>
        <w:spacing w:after="0"/>
        <w:jc w:val="both"/>
        <w:rPr>
          <w:rFonts w:eastAsia="Times New Roman" w:cstheme="minorHAnsi"/>
          <w:b/>
          <w:u w:val="single"/>
          <w:lang w:eastAsia="sl-SI"/>
        </w:rPr>
      </w:pPr>
      <w:r w:rsidRPr="001A1DFF">
        <w:rPr>
          <w:rFonts w:eastAsia="Times New Roman" w:cstheme="minorHAnsi"/>
          <w:b/>
          <w:u w:val="single"/>
          <w:lang w:eastAsia="sl-SI"/>
        </w:rPr>
        <w:t>Okvirno razmerje med operacijami, ki se izvajajo v obliki partnerstev in operacijami, ki jih upravičenci prijavijo in izvajajo samostojno, je 70:30.</w:t>
      </w:r>
    </w:p>
    <w:p w:rsidR="006B7453" w:rsidRPr="001A1DFF" w:rsidRDefault="006B74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(in partner</w:t>
      </w:r>
      <w:r w:rsidR="006B7453" w:rsidRPr="001A1DFF">
        <w:rPr>
          <w:rFonts w:eastAsia="Times New Roman" w:cstheme="minorHAnsi"/>
          <w:lang w:eastAsia="sl-SI"/>
        </w:rPr>
        <w:t>,</w:t>
      </w:r>
      <w:r w:rsidRPr="001A1DFF">
        <w:rPr>
          <w:rFonts w:eastAsia="Times New Roman" w:cstheme="minorHAnsi"/>
          <w:lang w:eastAsia="sl-SI"/>
        </w:rPr>
        <w:t xml:space="preserve"> kadar se operacije izvajajo s partnerjem) mo</w:t>
      </w:r>
      <w:r w:rsidR="00411603" w:rsidRPr="001A1DFF">
        <w:rPr>
          <w:rFonts w:eastAsia="Times New Roman" w:cstheme="minorHAnsi"/>
          <w:lang w:eastAsia="sl-SI"/>
        </w:rPr>
        <w:t>ra izpolnjevati sledeče pogoje:</w:t>
      </w:r>
    </w:p>
    <w:p w:rsidR="00C93632" w:rsidRPr="001A1DFF" w:rsidRDefault="00C93632" w:rsidP="00C93632">
      <w:pPr>
        <w:numPr>
          <w:ilvl w:val="0"/>
          <w:numId w:val="2"/>
        </w:numPr>
        <w:spacing w:after="0"/>
        <w:ind w:left="426"/>
        <w:jc w:val="both"/>
        <w:rPr>
          <w:rFonts w:eastAsia="Times New Roman" w:cstheme="minorHAnsi"/>
          <w:lang w:eastAsia="sl-SI"/>
        </w:rPr>
      </w:pPr>
      <w:r w:rsidRPr="001A1DFF">
        <w:rPr>
          <w:rFonts w:eastAsia="Times New Roman" w:cstheme="minorHAnsi"/>
          <w:lang w:eastAsia="sl-SI"/>
        </w:rPr>
        <w:t>ima sedež, registrirano izpostavo, podružnico, organizacijsko enoto oziroma poslovno enoto na upravičenem  območju LAS (če gre za pravno osebo zasebnega prava) oziroma deluje na območju LAS (če gre za pravno osebo javnega prava ali za pravno osebo zas</w:t>
      </w:r>
      <w:r w:rsidR="00DA5415" w:rsidRPr="001A1DFF">
        <w:rPr>
          <w:rFonts w:eastAsia="Times New Roman" w:cstheme="minorHAnsi"/>
          <w:lang w:eastAsia="sl-SI"/>
        </w:rPr>
        <w:t>ebnega prava v javnem interesu);</w:t>
      </w:r>
    </w:p>
    <w:p w:rsidR="00ED643D" w:rsidRDefault="00C93632"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1A1DFF">
        <w:rPr>
          <w:rFonts w:eastAsia="Times New Roman" w:cstheme="minorHAnsi"/>
          <w:lang w:eastAsia="sl-SI"/>
        </w:rPr>
        <w:t>ima zagotovljena sredstva za lastno sofinanciranje operacije (iz lastnih virov, iz drugih javnih oziroma zasebnih virov)</w:t>
      </w:r>
      <w:r w:rsidR="00ED643D">
        <w:rPr>
          <w:rFonts w:eastAsia="Times New Roman" w:cstheme="minorHAnsi"/>
          <w:lang w:eastAsia="sl-SI"/>
        </w:rPr>
        <w:t xml:space="preserve"> in</w:t>
      </w:r>
    </w:p>
    <w:p w:rsidR="00C93632" w:rsidRPr="00ED643D" w:rsidRDefault="00ED643D" w:rsidP="00C93632">
      <w:pPr>
        <w:widowControl w:val="0"/>
        <w:numPr>
          <w:ilvl w:val="0"/>
          <w:numId w:val="2"/>
        </w:numPr>
        <w:autoSpaceDE w:val="0"/>
        <w:autoSpaceDN w:val="0"/>
        <w:adjustRightInd w:val="0"/>
        <w:spacing w:after="0"/>
        <w:ind w:left="426"/>
        <w:jc w:val="both"/>
        <w:rPr>
          <w:rFonts w:eastAsia="Times New Roman" w:cstheme="minorHAnsi"/>
          <w:color w:val="FF0000"/>
          <w:lang w:eastAsia="sl-SI"/>
        </w:rPr>
      </w:pPr>
      <w:r>
        <w:rPr>
          <w:rFonts w:eastAsia="Times New Roman" w:cstheme="minorHAnsi"/>
          <w:color w:val="FF0000"/>
          <w:lang w:eastAsia="sl-SI"/>
        </w:rPr>
        <w:t>kadar gre za partnersko operacijo mora med partnerji biti sklenjena konzorcijska pogodba</w:t>
      </w:r>
      <w:r w:rsidR="00C93632" w:rsidRPr="00ED643D">
        <w:rPr>
          <w:rFonts w:eastAsia="Times New Roman" w:cstheme="minorHAnsi"/>
          <w:color w:val="FF0000"/>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93632" w:rsidRPr="001A1DFF" w:rsidRDefault="00C93632" w:rsidP="00C93632">
      <w:pPr>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bookmarkStart w:id="1" w:name="_Ref433500785"/>
      <w:r w:rsidRPr="001A1DFF">
        <w:rPr>
          <w:rFonts w:eastAsia="Times New Roman" w:cstheme="minorHAnsi"/>
          <w:b/>
          <w:bCs/>
          <w:u w:val="single"/>
          <w:lang w:eastAsia="sl-SI"/>
        </w:rPr>
        <w:t xml:space="preserve">Upravičena </w:t>
      </w:r>
      <w:r w:rsidR="00294202" w:rsidRPr="001A1DFF">
        <w:rPr>
          <w:rFonts w:eastAsia="Times New Roman" w:cstheme="minorHAnsi"/>
          <w:b/>
          <w:bCs/>
          <w:u w:val="single"/>
          <w:lang w:eastAsia="sl-SI"/>
        </w:rPr>
        <w:t>naselja</w:t>
      </w:r>
      <w:r w:rsidRPr="001A1DFF">
        <w:rPr>
          <w:rFonts w:eastAsia="Times New Roman" w:cstheme="minorHAnsi"/>
          <w:b/>
          <w:bCs/>
          <w:u w:val="single"/>
          <w:lang w:eastAsia="sl-SI"/>
        </w:rPr>
        <w:t xml:space="preserve"> za izvajanje operacij</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Operacija</w:t>
      </w:r>
      <w:r w:rsidR="0092753D" w:rsidRPr="001A1DFF">
        <w:rPr>
          <w:rFonts w:eastAsia="Times New Roman" w:cstheme="minorHAnsi"/>
          <w:lang w:eastAsia="sl-SI"/>
        </w:rPr>
        <w:t xml:space="preserve"> se lahko izvede na območju občine</w:t>
      </w:r>
      <w:r w:rsidRPr="001A1DFF">
        <w:rPr>
          <w:rFonts w:eastAsia="Times New Roman" w:cstheme="minorHAnsi"/>
          <w:lang w:eastAsia="sl-SI"/>
        </w:rPr>
        <w:t xml:space="preserve"> Grosuplj</w:t>
      </w:r>
      <w:r w:rsidR="0092753D" w:rsidRPr="001A1DFF">
        <w:rPr>
          <w:rFonts w:eastAsia="Times New Roman" w:cstheme="minorHAnsi"/>
          <w:lang w:eastAsia="sl-SI"/>
        </w:rPr>
        <w:t xml:space="preserve">e </w:t>
      </w:r>
      <w:r w:rsidR="0092753D" w:rsidRPr="001A1DFF">
        <w:rPr>
          <w:rFonts w:eastAsia="Times New Roman" w:cstheme="minorHAnsi"/>
          <w:b/>
          <w:lang w:eastAsia="sl-SI"/>
        </w:rPr>
        <w:t>v naseljih Grosuplje in Šmarje Sap</w:t>
      </w:r>
      <w:r w:rsidR="0092753D" w:rsidRPr="001A1DFF">
        <w:rPr>
          <w:rFonts w:eastAsia="Times New Roman" w:cstheme="minorHAnsi"/>
          <w:lang w:eastAsia="sl-SI"/>
        </w:rPr>
        <w:t>, v občini Ig  v naselju</w:t>
      </w:r>
      <w:r w:rsidR="0092753D" w:rsidRPr="001A1DFF">
        <w:rPr>
          <w:rFonts w:eastAsia="Times New Roman" w:cstheme="minorHAnsi"/>
          <w:b/>
          <w:lang w:eastAsia="sl-SI"/>
        </w:rPr>
        <w:t xml:space="preserve"> Ig</w:t>
      </w:r>
      <w:r w:rsidR="0092753D" w:rsidRPr="001A1DFF">
        <w:rPr>
          <w:rFonts w:eastAsia="Times New Roman" w:cstheme="minorHAnsi"/>
          <w:lang w:eastAsia="sl-SI"/>
        </w:rPr>
        <w:t xml:space="preserve"> in v občini Škofljica v naseljih</w:t>
      </w:r>
      <w:r w:rsidR="0092753D" w:rsidRPr="001A1DFF">
        <w:rPr>
          <w:rFonts w:eastAsia="Times New Roman" w:cstheme="minorHAnsi"/>
          <w:b/>
          <w:lang w:eastAsia="sl-SI"/>
        </w:rPr>
        <w:t xml:space="preserve"> Lavrica in Škofljica</w:t>
      </w:r>
      <w:r w:rsidR="0092753D" w:rsidRPr="001A1DFF">
        <w:rPr>
          <w:rFonts w:eastAsia="Times New Roman" w:cstheme="minorHAnsi"/>
          <w:lang w:eastAsia="sl-SI"/>
        </w:rPr>
        <w:t xml:space="preserve">. </w:t>
      </w:r>
    </w:p>
    <w:p w:rsidR="00FB000A" w:rsidRPr="001A1DFF" w:rsidRDefault="00FB000A"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Oblika in obseg sofinanciranja</w:t>
      </w:r>
      <w:bookmarkEnd w:id="1"/>
    </w:p>
    <w:p w:rsidR="00C93632" w:rsidRPr="001A1DFF" w:rsidRDefault="00C93632" w:rsidP="00F01D29">
      <w:pPr>
        <w:spacing w:after="0"/>
        <w:jc w:val="both"/>
        <w:rPr>
          <w:rFonts w:eastAsia="Times New Roman" w:cstheme="minorHAnsi"/>
          <w:bCs/>
          <w:lang w:eastAsia="sl-SI"/>
        </w:rPr>
      </w:pPr>
      <w:r w:rsidRPr="001A1DFF">
        <w:rPr>
          <w:rFonts w:eastAsia="Times New Roman" w:cstheme="minorHAnsi"/>
          <w:bCs/>
          <w:lang w:eastAsia="sl-SI"/>
        </w:rPr>
        <w:t xml:space="preserve">Podpora operaciji se dodeli na podlagi zahtevka za izplačilo v obliki </w:t>
      </w:r>
      <w:r w:rsidRPr="001A1DFF">
        <w:rPr>
          <w:rFonts w:eastAsia="Times New Roman" w:cstheme="minorHAnsi"/>
          <w:b/>
          <w:bCs/>
          <w:lang w:eastAsia="sl-SI"/>
        </w:rPr>
        <w:t>nepovratne finančne podpore</w:t>
      </w:r>
      <w:r w:rsidRPr="001A1DFF">
        <w:rPr>
          <w:rFonts w:eastAsia="Times New Roman" w:cstheme="minorHAnsi"/>
          <w:bCs/>
          <w:lang w:eastAsia="sl-SI"/>
        </w:rPr>
        <w:t xml:space="preserve"> za kritje </w:t>
      </w:r>
      <w:r w:rsidRPr="001A1DFF">
        <w:rPr>
          <w:rFonts w:eastAsia="Times New Roman" w:cstheme="minorHAnsi"/>
          <w:b/>
          <w:bCs/>
          <w:lang w:eastAsia="sl-SI"/>
        </w:rPr>
        <w:t>upravičenih stroškov</w:t>
      </w:r>
      <w:r w:rsidRPr="001A1DFF">
        <w:rPr>
          <w:rFonts w:eastAsia="Times New Roman" w:cstheme="minorHAnsi"/>
          <w:bCs/>
          <w:lang w:eastAsia="sl-SI"/>
        </w:rPr>
        <w:t>, u</w:t>
      </w:r>
      <w:r w:rsidR="008954E0" w:rsidRPr="001A1DFF">
        <w:rPr>
          <w:rFonts w:eastAsia="Times New Roman" w:cstheme="minorHAnsi"/>
          <w:bCs/>
          <w:lang w:eastAsia="sl-SI"/>
        </w:rPr>
        <w:t>poštevajoč posebna pravila ESRR</w:t>
      </w:r>
      <w:r w:rsidRPr="001A1DFF">
        <w:rPr>
          <w:rFonts w:eastAsia="Times New Roman" w:cstheme="minorHAnsi"/>
          <w:bCs/>
          <w:lang w:eastAsia="sl-SI"/>
        </w:rPr>
        <w:t>. Stroški se priznajo v obliki s</w:t>
      </w:r>
      <w:r w:rsidR="00846E32" w:rsidRPr="001A1DFF">
        <w:rPr>
          <w:rFonts w:eastAsia="Times New Roman" w:cstheme="minorHAnsi"/>
          <w:bCs/>
          <w:lang w:eastAsia="sl-SI"/>
        </w:rPr>
        <w:t xml:space="preserve">troškov dela, materiala, naložb in </w:t>
      </w:r>
      <w:r w:rsidR="00186A82" w:rsidRPr="001A1DFF">
        <w:rPr>
          <w:rFonts w:eastAsia="Times New Roman" w:cstheme="minorHAnsi"/>
          <w:bCs/>
          <w:lang w:eastAsia="sl-SI"/>
        </w:rPr>
        <w:t xml:space="preserve"> storitev</w:t>
      </w:r>
      <w:r w:rsidR="00F01D29" w:rsidRPr="001A1DFF">
        <w:rPr>
          <w:rFonts w:eastAsia="Times New Roman" w:cstheme="minorHAnsi"/>
          <w:bCs/>
          <w:lang w:eastAsia="sl-SI"/>
        </w:rPr>
        <w:t xml:space="preserve"> ter nakupa zemljišč</w:t>
      </w:r>
      <w:r w:rsidRPr="001A1DFF">
        <w:rPr>
          <w:rFonts w:eastAsia="Times New Roman" w:cstheme="minorHAnsi"/>
          <w:bCs/>
          <w:lang w:eastAsia="sl-SI"/>
        </w:rPr>
        <w:t xml:space="preserve"> kot</w:t>
      </w:r>
      <w:r w:rsidR="00294202" w:rsidRPr="001A1DFF">
        <w:rPr>
          <w:rFonts w:eastAsia="Times New Roman" w:cstheme="minorHAnsi"/>
          <w:bCs/>
          <w:lang w:eastAsia="sl-SI"/>
        </w:rPr>
        <w:t xml:space="preserve"> je</w:t>
      </w:r>
      <w:r w:rsidRPr="001A1DFF">
        <w:rPr>
          <w:rFonts w:eastAsia="Times New Roman" w:cstheme="minorHAnsi"/>
          <w:bCs/>
          <w:lang w:eastAsia="sl-SI"/>
        </w:rPr>
        <w:t xml:space="preserve"> določeno v </w:t>
      </w:r>
      <w:r w:rsidR="00304798" w:rsidRPr="001A1DFF">
        <w:rPr>
          <w:rFonts w:eastAsia="Times New Roman" w:cstheme="minorHAnsi"/>
          <w:bCs/>
          <w:lang w:eastAsia="sl-SI"/>
        </w:rPr>
        <w:t>Uredbi</w:t>
      </w:r>
      <w:r w:rsidRPr="001A1DFF">
        <w:rPr>
          <w:rFonts w:eastAsia="Times New Roman" w:cstheme="minorHAnsi"/>
          <w:bCs/>
          <w:lang w:eastAsia="sl-SI"/>
        </w:rPr>
        <w:t xml:space="preserve"> CL</w:t>
      </w:r>
      <w:r w:rsidR="00294202" w:rsidRPr="001A1DFF">
        <w:rPr>
          <w:rFonts w:eastAsia="Times New Roman" w:cstheme="minorHAnsi"/>
          <w:bCs/>
          <w:lang w:eastAsia="sl-SI"/>
        </w:rPr>
        <w:t>LD ob</w:t>
      </w:r>
      <w:r w:rsidR="00F01D29" w:rsidRPr="001A1DFF">
        <w:rPr>
          <w:rFonts w:eastAsia="Times New Roman" w:cstheme="minorHAnsi"/>
          <w:bCs/>
          <w:lang w:eastAsia="sl-SI"/>
        </w:rPr>
        <w:t xml:space="preserve"> dodatnem</w:t>
      </w:r>
      <w:r w:rsidR="00294202" w:rsidRPr="001A1DFF">
        <w:rPr>
          <w:rFonts w:eastAsia="Times New Roman" w:cstheme="minorHAnsi"/>
          <w:bCs/>
          <w:lang w:eastAsia="sl-SI"/>
        </w:rPr>
        <w:t xml:space="preserve"> upoštevanju</w:t>
      </w:r>
      <w:r w:rsidR="00F01D29" w:rsidRPr="001A1DFF">
        <w:rPr>
          <w:rFonts w:eastAsia="Times New Roman" w:cstheme="minorHAnsi"/>
          <w:bCs/>
          <w:lang w:eastAsia="sl-SI"/>
        </w:rPr>
        <w:t xml:space="preserve"> </w:t>
      </w:r>
      <w:r w:rsidR="00294202" w:rsidRPr="001A1DFF">
        <w:rPr>
          <w:rFonts w:eastAsia="Times New Roman" w:cstheme="minorHAnsi"/>
          <w:bCs/>
          <w:lang w:eastAsia="sl-SI"/>
        </w:rPr>
        <w:t xml:space="preserve"> </w:t>
      </w:r>
      <w:r w:rsidR="00F01D29" w:rsidRPr="001A1DFF">
        <w:rPr>
          <w:rFonts w:eastAsia="Times New Roman" w:cstheme="minorHAnsi"/>
          <w:bCs/>
          <w:lang w:eastAsia="sl-SI"/>
        </w:rPr>
        <w:t xml:space="preserve">Navodila organa upravljanja o upravičenih stroških za sredstva evropske kohezijske politike v programskem obdobju 2014-2020, ki je dostopen na spletni strani LAS </w:t>
      </w:r>
      <w:hyperlink r:id="rId12" w:history="1">
        <w:r w:rsidR="00F01D29" w:rsidRPr="001A1DFF">
          <w:rPr>
            <w:rStyle w:val="Hiperpovezava"/>
            <w:rFonts w:eastAsia="Times New Roman" w:cstheme="minorHAnsi"/>
            <w:bCs/>
            <w:color w:val="auto"/>
            <w:lang w:eastAsia="sl-SI"/>
          </w:rPr>
          <w:t>http://www.las-smp.</w:t>
        </w:r>
        <w:r w:rsidR="00F01D29" w:rsidRPr="001A1DFF">
          <w:rPr>
            <w:rStyle w:val="Hiperpovezava"/>
            <w:rFonts w:eastAsia="Times New Roman" w:cstheme="minorHAnsi"/>
            <w:bCs/>
            <w:color w:val="auto"/>
            <w:u w:val="none"/>
            <w:lang w:eastAsia="sl-SI"/>
          </w:rPr>
          <w:t>si</w:t>
        </w:r>
      </w:hyperlink>
      <w:r w:rsidR="003B31C5" w:rsidRPr="001A1DFF">
        <w:rPr>
          <w:rStyle w:val="Hiperpovezava"/>
          <w:rFonts w:eastAsia="Times New Roman" w:cstheme="minorHAnsi"/>
          <w:bCs/>
          <w:color w:val="auto"/>
          <w:u w:val="none"/>
          <w:lang w:eastAsia="sl-SI"/>
        </w:rPr>
        <w:t xml:space="preserve"> </w:t>
      </w:r>
      <w:r w:rsidR="00F01D29" w:rsidRPr="001A1DFF">
        <w:rPr>
          <w:rFonts w:eastAsia="Times New Roman" w:cstheme="minorHAnsi"/>
          <w:bCs/>
          <w:lang w:eastAsia="sl-SI"/>
        </w:rPr>
        <w:t xml:space="preserve">in tudi na naslovu </w:t>
      </w:r>
      <w:hyperlink r:id="rId13" w:history="1">
        <w:r w:rsidR="00F01D29" w:rsidRPr="001A1DFF">
          <w:rPr>
            <w:rStyle w:val="Hiperpovezava"/>
            <w:rFonts w:eastAsia="Times New Roman" w:cstheme="minorHAnsi"/>
            <w:bCs/>
            <w:color w:val="auto"/>
            <w:lang w:eastAsia="sl-SI"/>
          </w:rPr>
          <w:t>http://www.eu-skladi.si/sl/ekp/navodila</w:t>
        </w:r>
      </w:hyperlink>
      <w:r w:rsidR="00F01D29" w:rsidRPr="001A1DFF">
        <w:rPr>
          <w:rFonts w:eastAsia="Times New Roman" w:cstheme="minorHAnsi"/>
          <w:bCs/>
          <w:lang w:eastAsia="sl-SI"/>
        </w:rPr>
        <w:t xml:space="preserve">. </w:t>
      </w:r>
    </w:p>
    <w:p w:rsidR="000D12AF" w:rsidRPr="001A1DFF" w:rsidRDefault="000D12AF" w:rsidP="000D12AF">
      <w:pPr>
        <w:spacing w:after="0"/>
        <w:rPr>
          <w:rFonts w:eastAsia="Times New Roman" w:cstheme="minorHAnsi"/>
          <w:lang w:eastAsia="sl-SI"/>
        </w:rPr>
      </w:pPr>
    </w:p>
    <w:p w:rsidR="001A6576" w:rsidRPr="001A1DFF" w:rsidRDefault="001A6576" w:rsidP="000D12AF">
      <w:pPr>
        <w:spacing w:after="0"/>
        <w:rPr>
          <w:rFonts w:eastAsia="Times New Roman" w:cstheme="minorHAnsi"/>
          <w:lang w:eastAsia="sl-SI"/>
        </w:rPr>
      </w:pPr>
      <w:r w:rsidRPr="001A1DFF">
        <w:rPr>
          <w:rFonts w:eastAsia="Times New Roman" w:cstheme="minorHAnsi"/>
          <w:lang w:eastAsia="sl-SI"/>
        </w:rPr>
        <w:t>Razmerje med namenskimi sredstvi EU in slovensko udeležbo:  Prispevek Evropske unije 80 % in slovenska udeležba 20%.</w:t>
      </w:r>
    </w:p>
    <w:p w:rsidR="001A6576" w:rsidRPr="001A1DFF" w:rsidRDefault="001A6576" w:rsidP="000D12AF">
      <w:pPr>
        <w:spacing w:after="0"/>
        <w:rPr>
          <w:rFonts w:eastAsia="Times New Roman" w:cstheme="minorHAnsi"/>
          <w:lang w:eastAsia="sl-SI"/>
        </w:rPr>
      </w:pPr>
    </w:p>
    <w:p w:rsidR="00FB000A" w:rsidRPr="001A1DFF" w:rsidRDefault="00FB000A" w:rsidP="00FB000A">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Kadar upravičenci niso zavezanci po Zakonu o javnem naročanju morajo izvajati operacije v skladu s temeljnimi načeli Zakona o javnem naročanju (ZJN-3) (Uradni list RS, št. 91/2015, z dne 30.11.2015) in pogodbo o sofinanciranju.</w:t>
      </w:r>
    </w:p>
    <w:p w:rsidR="00FB000A" w:rsidRPr="001A1DFF" w:rsidRDefault="00FB000A"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 xml:space="preserve">Podrobnejša pravila za upravičenost stroškov so določena s predpisom, ki ureja izvajanje kohezijske politike v Republiki Sloveniji. </w:t>
      </w:r>
    </w:p>
    <w:p w:rsidR="000D12AF" w:rsidRPr="001A1DFF" w:rsidRDefault="000D12AF"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Ne glede na naveden predpis DDV ni upravičen strošek.</w:t>
      </w:r>
    </w:p>
    <w:p w:rsidR="000D12AF" w:rsidRPr="001A1DFF" w:rsidRDefault="000D12AF" w:rsidP="000D12AF">
      <w:pPr>
        <w:spacing w:after="0"/>
        <w:rPr>
          <w:rFonts w:eastAsia="Times New Roman" w:cstheme="minorHAnsi"/>
          <w:lang w:eastAsia="sl-SI"/>
        </w:rPr>
      </w:pPr>
    </w:p>
    <w:p w:rsidR="00C93632" w:rsidRPr="001A1DFF" w:rsidRDefault="000D12AF" w:rsidP="000D12AF">
      <w:pPr>
        <w:spacing w:after="0"/>
        <w:rPr>
          <w:rFonts w:eastAsia="Times New Roman" w:cstheme="minorHAnsi"/>
          <w:lang w:eastAsia="sl-SI"/>
        </w:rPr>
      </w:pPr>
      <w:r w:rsidRPr="001A1DFF">
        <w:rPr>
          <w:rFonts w:eastAsia="Times New Roman" w:cstheme="minorHAnsi"/>
          <w:lang w:eastAsia="sl-SI"/>
        </w:rPr>
        <w:lastRenderedPageBreak/>
        <w:t>Ne glede na prvi odstavek 28. člena in drugi odstavek 35. člena Uredbe CLLD prispevek v naravi ni upravičen strošek.</w:t>
      </w:r>
    </w:p>
    <w:p w:rsidR="001A6576" w:rsidRPr="001A1DFF" w:rsidRDefault="001A6576" w:rsidP="00C93632">
      <w:pPr>
        <w:widowControl w:val="0"/>
        <w:overflowPunct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Razliko do 100 %</w:t>
      </w:r>
      <w:r w:rsidRPr="001A1DFF">
        <w:rPr>
          <w:rFonts w:eastAsia="Times New Roman" w:cstheme="minorHAnsi"/>
          <w:b/>
          <w:bCs/>
          <w:lang w:eastAsia="sl-SI"/>
        </w:rPr>
        <w:t xml:space="preserve"> </w:t>
      </w:r>
      <w:r w:rsidRPr="001A1DFF">
        <w:rPr>
          <w:rFonts w:eastAsia="Times New Roman" w:cstheme="minorHAnsi"/>
          <w:lang w:eastAsia="sl-SI"/>
        </w:rPr>
        <w:t>upravičenih stroškov ter neupravičene stroške krije upravičenec kot nosilec operacije in</w:t>
      </w:r>
      <w:r w:rsidRPr="001A1DFF">
        <w:rPr>
          <w:rFonts w:eastAsia="Times New Roman" w:cstheme="minorHAnsi"/>
          <w:b/>
          <w:bCs/>
          <w:lang w:eastAsia="sl-SI"/>
        </w:rPr>
        <w:t xml:space="preserve"> </w:t>
      </w:r>
      <w:r w:rsidRPr="001A1DFF">
        <w:rPr>
          <w:rFonts w:eastAsia="Times New Roman" w:cstheme="minorHAnsi"/>
          <w:lang w:eastAsia="sl-SI"/>
        </w:rPr>
        <w:t>projektni partnerji iz lastnih sredstev.</w:t>
      </w:r>
    </w:p>
    <w:p w:rsidR="000D12AF" w:rsidRPr="001A1DFF" w:rsidRDefault="000D12AF" w:rsidP="00C93632">
      <w:pPr>
        <w:spacing w:after="0"/>
        <w:rPr>
          <w:rFonts w:eastAsia="Times New Roman" w:cstheme="minorHAnsi"/>
          <w:lang w:eastAsia="sl-SI"/>
        </w:rPr>
      </w:pPr>
    </w:p>
    <w:p w:rsidR="00C52C92" w:rsidRPr="001A1DFF" w:rsidRDefault="00C52C92" w:rsidP="00C52C92">
      <w:pPr>
        <w:spacing w:after="0"/>
        <w:jc w:val="both"/>
        <w:rPr>
          <w:rFonts w:cstheme="minorHAnsi"/>
        </w:rPr>
      </w:pPr>
      <w:r w:rsidRPr="001A1DFF">
        <w:rPr>
          <w:rFonts w:cstheme="minorHAnsi"/>
        </w:rPr>
        <w:t>Za vse operacije se upošteva 49. člen Uredbe CLLD, ki govori o obveznostih po izplačilu podpore.</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C93632" w:rsidRPr="001A1DFF" w:rsidRDefault="00C93632" w:rsidP="00C93632">
      <w:pPr>
        <w:spacing w:after="0"/>
        <w:rPr>
          <w:rFonts w:eastAsia="Times New Roman" w:cstheme="minorHAnsi"/>
          <w:lang w:eastAsia="sl-SI"/>
        </w:rPr>
      </w:pPr>
    </w:p>
    <w:p w:rsidR="00C93632"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iz sklada ESRR se dodeljuje kot pomoč po pravilu </w:t>
      </w:r>
      <w:r w:rsidRPr="001A1DFF">
        <w:rPr>
          <w:rFonts w:eastAsia="Times New Roman" w:cstheme="minorHAnsi"/>
          <w:bCs/>
          <w:u w:val="single"/>
          <w:lang w:eastAsia="sl-SI"/>
        </w:rPr>
        <w:t xml:space="preserve">de </w:t>
      </w:r>
      <w:proofErr w:type="spellStart"/>
      <w:r w:rsidRPr="001A1DFF">
        <w:rPr>
          <w:rFonts w:eastAsia="Times New Roman" w:cstheme="minorHAnsi"/>
          <w:bCs/>
          <w:u w:val="single"/>
          <w:lang w:eastAsia="sl-SI"/>
        </w:rPr>
        <w:t>minimis</w:t>
      </w:r>
      <w:proofErr w:type="spellEnd"/>
      <w:r w:rsidRPr="001A1DFF">
        <w:rPr>
          <w:rFonts w:eastAsia="Times New Roman" w:cstheme="minorHAnsi"/>
          <w:bCs/>
          <w:lang w:eastAsia="sl-SI"/>
        </w:rPr>
        <w:t xml:space="preserve"> v skladu z Uredbo 1407/2013/EU, priglašeno s Programom izvajanja finančnih spodbud ministrstva za gospodarski razvoj in tehnologijo 2015–2020, objavljenim na spletni strani MGRT. </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Pomoč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šteje za dodeljeno z dnem sklenjene pogodbe, ki jo sklene MGRT.</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p>
    <w:p w:rsidR="008A6D2D" w:rsidRPr="001A1DFF" w:rsidRDefault="002020A0"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se za </w:t>
      </w:r>
      <w:proofErr w:type="spellStart"/>
      <w:r w:rsidRPr="001A1DFF">
        <w:rPr>
          <w:rFonts w:eastAsia="Times New Roman" w:cstheme="minorHAnsi"/>
          <w:bCs/>
          <w:lang w:eastAsia="sl-SI"/>
        </w:rPr>
        <w:t>po</w:t>
      </w:r>
      <w:r w:rsidR="00A90295" w:rsidRPr="001A1DFF">
        <w:rPr>
          <w:rFonts w:eastAsia="Times New Roman" w:cstheme="minorHAnsi"/>
          <w:bCs/>
          <w:lang w:eastAsia="sl-SI"/>
        </w:rPr>
        <w:t>d</w:t>
      </w:r>
      <w:r w:rsidRPr="001A1DFF">
        <w:rPr>
          <w:rFonts w:eastAsia="Times New Roman" w:cstheme="minorHAnsi"/>
          <w:bCs/>
          <w:lang w:eastAsia="sl-SI"/>
        </w:rPr>
        <w:t>ukrepe</w:t>
      </w:r>
      <w:proofErr w:type="spellEnd"/>
      <w:r w:rsidRPr="001A1DFF">
        <w:rPr>
          <w:rFonts w:eastAsia="Times New Roman" w:cstheme="minorHAnsi"/>
          <w:bCs/>
          <w:lang w:eastAsia="sl-SI"/>
        </w:rPr>
        <w:t xml:space="preserve"> iz prvega odstavka 54. člena te uredbe dodeli do višine, ki ne presega skupnega zneska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iz 3. člena Uredbe 1407/2013/EU. Z drugimi pomočmi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ta pomoč lahko </w:t>
      </w:r>
      <w:proofErr w:type="spellStart"/>
      <w:r w:rsidRPr="001A1DFF">
        <w:rPr>
          <w:rFonts w:eastAsia="Times New Roman" w:cstheme="minorHAnsi"/>
          <w:bCs/>
          <w:lang w:eastAsia="sl-SI"/>
        </w:rPr>
        <w:t>kumulira</w:t>
      </w:r>
      <w:proofErr w:type="spellEnd"/>
      <w:r w:rsidRPr="001A1DFF">
        <w:rPr>
          <w:rFonts w:eastAsia="Times New Roman" w:cstheme="minorHAnsi"/>
          <w:bCs/>
          <w:lang w:eastAsia="sl-SI"/>
        </w:rPr>
        <w:t xml:space="preserve"> le pod pogoji iz 5. člena Uredbe 1407/2013/EU.</w:t>
      </w:r>
    </w:p>
    <w:p w:rsidR="002020A0" w:rsidRPr="001A1DFF" w:rsidRDefault="002020A0" w:rsidP="00C93632">
      <w:pPr>
        <w:widowControl w:val="0"/>
        <w:autoSpaceDE w:val="0"/>
        <w:autoSpaceDN w:val="0"/>
        <w:adjustRightInd w:val="0"/>
        <w:spacing w:after="0"/>
        <w:jc w:val="both"/>
        <w:rPr>
          <w:rFonts w:eastAsia="Times New Roman" w:cstheme="minorHAnsi"/>
          <w:bCs/>
          <w:lang w:eastAsia="sl-SI"/>
        </w:rPr>
      </w:pP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mora k vlogi obvezno predložiti:</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vseh drugih pomočeh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ki jih je upravičenec oziroma enotno podjetje prejelo v predhodnih dveh letih in v tekočem proračunskem letu;</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drugih že prejetih ali zaprošenih pomočeh za iste upravičene stroške in zagotovilo, da z dodeljenim zneskom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ne bo presežena zgornja meja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pomoči ter intenzivnosti pomoči po drugih predpisih;</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ali gre za enotno podjetje z navedbo podjetij, ki so z njim povezana, z namenom preveritve skupnega zneska že prejetih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za vsa, z njim povezana podjetja.</w:t>
      </w:r>
    </w:p>
    <w:p w:rsidR="002020A0" w:rsidRPr="001A1DFF" w:rsidRDefault="002020A0" w:rsidP="002020A0">
      <w:pPr>
        <w:widowControl w:val="0"/>
        <w:autoSpaceDE w:val="0"/>
        <w:autoSpaceDN w:val="0"/>
        <w:adjustRightInd w:val="0"/>
        <w:spacing w:after="0"/>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Najnižji znesek javne pod</w:t>
      </w:r>
      <w:r w:rsidR="008A6D2D" w:rsidRPr="001A1DFF">
        <w:rPr>
          <w:rFonts w:eastAsia="Times New Roman" w:cstheme="minorHAnsi"/>
          <w:b/>
          <w:bCs/>
          <w:lang w:eastAsia="sl-SI"/>
        </w:rPr>
        <w:t>pore</w:t>
      </w:r>
      <w:r w:rsidR="008A6D2D" w:rsidRPr="001A1DFF">
        <w:rPr>
          <w:rFonts w:eastAsia="Times New Roman" w:cstheme="minorHAnsi"/>
          <w:bCs/>
          <w:lang w:eastAsia="sl-SI"/>
        </w:rPr>
        <w:t xml:space="preserve"> za posamezno operacijo </w:t>
      </w:r>
      <w:r w:rsidR="008A6D2D" w:rsidRPr="001A1DFF">
        <w:rPr>
          <w:rFonts w:eastAsia="Times New Roman" w:cstheme="minorHAnsi"/>
          <w:b/>
          <w:bCs/>
          <w:lang w:eastAsia="sl-SI"/>
        </w:rPr>
        <w:t>je 5</w:t>
      </w:r>
      <w:r w:rsidRPr="001A1DFF">
        <w:rPr>
          <w:rFonts w:eastAsia="Times New Roman" w:cstheme="minorHAnsi"/>
          <w:b/>
          <w:bCs/>
          <w:lang w:eastAsia="sl-SI"/>
        </w:rPr>
        <w:t xml:space="preserve">.000 </w:t>
      </w:r>
      <w:r w:rsidR="002020A0" w:rsidRPr="001A1DFF">
        <w:rPr>
          <w:rFonts w:eastAsia="Times New Roman" w:cstheme="minorHAnsi"/>
          <w:b/>
          <w:bCs/>
          <w:lang w:eastAsia="sl-SI"/>
        </w:rPr>
        <w:t>EUR</w:t>
      </w:r>
      <w:r w:rsidRPr="001A1DFF">
        <w:rPr>
          <w:rFonts w:eastAsia="Times New Roman" w:cstheme="minorHAnsi"/>
          <w:bCs/>
          <w:lang w:eastAsia="sl-SI"/>
        </w:rPr>
        <w:t xml:space="preserve">. </w:t>
      </w:r>
      <w:r w:rsidRPr="001A1DFF">
        <w:rPr>
          <w:rFonts w:eastAsia="Times New Roman" w:cstheme="minorHAnsi"/>
          <w:b/>
          <w:bCs/>
          <w:lang w:eastAsia="sl-SI"/>
        </w:rPr>
        <w:t>Najvišji znesek javne podpore</w:t>
      </w:r>
      <w:r w:rsidRPr="001A1DFF">
        <w:rPr>
          <w:rFonts w:eastAsia="Times New Roman" w:cstheme="minorHAnsi"/>
          <w:bCs/>
          <w:lang w:eastAsia="sl-SI"/>
        </w:rPr>
        <w:t xml:space="preserve"> za posamezno operacijo je po Uredbi CLLD 300.000 evrov vendar je LAS odločil, da je ta znesek </w:t>
      </w:r>
      <w:r w:rsidR="00ED643D">
        <w:rPr>
          <w:rFonts w:eastAsia="Times New Roman" w:cstheme="minorHAnsi"/>
          <w:b/>
          <w:bCs/>
          <w:color w:val="FF0000"/>
          <w:u w:val="single"/>
          <w:lang w:eastAsia="sl-SI"/>
        </w:rPr>
        <w:t>15</w:t>
      </w:r>
      <w:r w:rsidR="008A6D2D" w:rsidRPr="00ED643D">
        <w:rPr>
          <w:rFonts w:eastAsia="Times New Roman" w:cstheme="minorHAnsi"/>
          <w:b/>
          <w:bCs/>
          <w:color w:val="FF0000"/>
          <w:u w:val="single"/>
          <w:lang w:eastAsia="sl-SI"/>
        </w:rPr>
        <w:t>0.000,00</w:t>
      </w:r>
      <w:r w:rsidR="002020A0" w:rsidRPr="00ED643D">
        <w:rPr>
          <w:rFonts w:eastAsia="Times New Roman" w:cstheme="minorHAnsi"/>
          <w:bCs/>
          <w:color w:val="FF0000"/>
          <w:lang w:eastAsia="sl-SI"/>
        </w:rPr>
        <w:t xml:space="preserve"> </w:t>
      </w:r>
      <w:r w:rsidR="002020A0" w:rsidRPr="001A1DFF">
        <w:rPr>
          <w:rFonts w:eastAsia="Times New Roman" w:cstheme="minorHAnsi"/>
          <w:b/>
          <w:bCs/>
          <w:lang w:eastAsia="sl-SI"/>
        </w:rPr>
        <w:t>EUR</w:t>
      </w:r>
      <w:r w:rsidRPr="001A1DFF">
        <w:rPr>
          <w:rFonts w:eastAsia="Times New Roman" w:cstheme="minorHAnsi"/>
          <w:b/>
          <w:bCs/>
          <w:lang w:eastAsia="sl-SI"/>
        </w:rPr>
        <w:t>.</w:t>
      </w:r>
      <w:r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Kadar vrednost posamezne operacije znaša več kot 20.000 evrov, se lahko izvaja v dveh fazah, s tem, da posamezni zahtevek za izplačilo ne sme biti nižji od 5.000 evrov.</w:t>
      </w:r>
    </w:p>
    <w:p w:rsidR="008871C5" w:rsidRPr="001A1DFF" w:rsidRDefault="008871C5"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u w:val="single"/>
          <w:lang w:eastAsia="sl-SI"/>
        </w:rPr>
        <w:t>Pogoji glede predloga operacije</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predstavlja  niz  aktivnosti,  ki  so  z  uporabo  razpoložljivih  finančnih  sredstev  v  določenem časovnem obdobju usmerjene v dosego jasno opredeljen ciljev. Pri vsaki pripravi operacij mora biti:  </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jasno opredeljeno komu je namenjena in kdo so njeni končni uporabniki,</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opisan sistem upravljanja in način financiranja,</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vzpostavljen sistem spremljanja in</w:t>
      </w:r>
    </w:p>
    <w:p w:rsidR="00C93632" w:rsidRPr="001A1DFF" w:rsidRDefault="008871C5"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 xml:space="preserve">jasno razvidno, </w:t>
      </w:r>
      <w:r w:rsidR="00C93632" w:rsidRPr="001A1DFF">
        <w:rPr>
          <w:rFonts w:eastAsia="Times New Roman" w:cstheme="minorHAnsi"/>
          <w:bCs/>
          <w:lang w:eastAsia="sl-SI"/>
        </w:rPr>
        <w:t xml:space="preserve">da koristi projekta presegajo njegove  stroške.                                                     </w:t>
      </w:r>
    </w:p>
    <w:p w:rsidR="008871C5" w:rsidRPr="001A1DFF" w:rsidRDefault="008871C5"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Ob oddaji vloge morajo biti za operacijo izdana vsa potrebna dovoljenja, kot jih za izvedbo operacije določa področna zakonodaja. </w:t>
      </w:r>
    </w:p>
    <w:p w:rsidR="0090048D"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t>MGRT z upravičencem, ki mu je bila odobrena operacija za sofinanciranje s sredstvi ESRR, sklene pogodbo o sofinanciranju.</w:t>
      </w:r>
    </w:p>
    <w:p w:rsidR="006F3C28"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Operacija mora biti izvedena v skladu s prijavljeno in s strani MGRT odobreno vsebino ter področno zakonodajo.</w:t>
      </w:r>
    </w:p>
    <w:p w:rsidR="0090048D" w:rsidRPr="001A1DFF" w:rsidRDefault="00D86F67" w:rsidP="00C93632">
      <w:pPr>
        <w:widowControl w:val="0"/>
        <w:autoSpaceDE w:val="0"/>
        <w:autoSpaceDN w:val="0"/>
        <w:adjustRightInd w:val="0"/>
        <w:spacing w:after="0"/>
        <w:jc w:val="both"/>
      </w:pPr>
      <w:r w:rsidRPr="001A1DFF">
        <w:t>Upravičenci, ki vodijo računovodstvo v skladu z nacionalnimi predpisi in so vključeni v izvajanje operacij, morajo za upravičene in dejansko nastale stroške voditi ločeno računovodstvo ali ustrezno računovodsko kodo za vse transakcije v zvezi z operacijo.</w:t>
      </w:r>
    </w:p>
    <w:p w:rsidR="00D86F67" w:rsidRPr="001A1DFF" w:rsidRDefault="00D86F67"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Časovni okvir izvedbe operacije</w:t>
      </w:r>
    </w:p>
    <w:p w:rsidR="0090048D" w:rsidRPr="001A1DFF" w:rsidRDefault="0090048D" w:rsidP="00C93632">
      <w:pPr>
        <w:widowControl w:val="0"/>
        <w:autoSpaceDE w:val="0"/>
        <w:autoSpaceDN w:val="0"/>
        <w:adjustRightInd w:val="0"/>
        <w:spacing w:after="0"/>
        <w:jc w:val="both"/>
        <w:rPr>
          <w:rFonts w:eastAsia="Times New Roman" w:cstheme="minorHAnsi"/>
          <w:shd w:val="clear" w:color="auto" w:fill="FFFFFF"/>
          <w:lang w:eastAsia="sl-SI"/>
        </w:rPr>
      </w:pPr>
      <w:r w:rsidRPr="001A1DFF">
        <w:rPr>
          <w:rFonts w:eastAsia="Times New Roman" w:cstheme="minorHAnsi"/>
          <w:shd w:val="clear" w:color="auto" w:fill="FFFFFF"/>
          <w:lang w:eastAsia="sl-SI"/>
        </w:rPr>
        <w:t xml:space="preserve">V skladu z drugim odstavkom 28. člena in četrtim odstavkom 35. člena Uredbe CLLD so upravičeni samo stroški, ki so nastali </w:t>
      </w:r>
      <w:r w:rsidRPr="001A1DFF">
        <w:rPr>
          <w:rFonts w:eastAsia="Times New Roman" w:cstheme="minorHAnsi"/>
          <w:b/>
          <w:shd w:val="clear" w:color="auto" w:fill="FFFFFF"/>
          <w:lang w:eastAsia="sl-SI"/>
        </w:rPr>
        <w:t>po oddaji vloge v odobritev na MGRT</w:t>
      </w:r>
      <w:r w:rsidRPr="001A1DFF">
        <w:rPr>
          <w:rFonts w:eastAsia="Times New Roman" w:cstheme="minorHAnsi"/>
          <w:shd w:val="clear" w:color="auto" w:fill="FFFFFF"/>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mora </w:t>
      </w:r>
      <w:r w:rsidRPr="001A1DFF">
        <w:rPr>
          <w:rFonts w:eastAsia="Times New Roman" w:cstheme="minorHAnsi"/>
          <w:b/>
          <w:bCs/>
          <w:lang w:eastAsia="sl-SI"/>
        </w:rPr>
        <w:t>izvesti operacijo najpozneje v treh letih</w:t>
      </w:r>
      <w:r w:rsidRPr="001A1DFF">
        <w:rPr>
          <w:rFonts w:eastAsia="Times New Roman" w:cstheme="minorHAnsi"/>
          <w:bCs/>
          <w:lang w:eastAsia="sl-SI"/>
        </w:rPr>
        <w:t xml:space="preserve"> od pravnomočnosti o potrditvi operacije s strani </w:t>
      </w:r>
      <w:r w:rsidR="00304798" w:rsidRPr="001A1DFF">
        <w:rPr>
          <w:rFonts w:eastAsia="Times New Roman" w:cstheme="minorHAnsi"/>
          <w:lang w:eastAsia="sl-SI"/>
        </w:rPr>
        <w:t>MGRT</w:t>
      </w:r>
      <w:r w:rsidR="006F3C28" w:rsidRPr="001A1DFF">
        <w:rPr>
          <w:rFonts w:eastAsia="Times New Roman" w:cstheme="minorHAnsi"/>
          <w:bCs/>
          <w:lang w:eastAsia="sl-SI"/>
        </w:rPr>
        <w:t xml:space="preserve">. </w:t>
      </w:r>
      <w:r w:rsidRPr="001A1DFF">
        <w:rPr>
          <w:rFonts w:eastAsia="Times New Roman" w:cstheme="minorHAnsi"/>
          <w:lang w:eastAsia="sl-SI"/>
        </w:rPr>
        <w:t>Obdobje trajanja operacije mora vključevati čas za izvedbo glavnih aktivnosti ter čas za admini</w:t>
      </w:r>
      <w:r w:rsidR="00C52C92" w:rsidRPr="001A1DFF">
        <w:rPr>
          <w:rFonts w:eastAsia="Times New Roman" w:cstheme="minorHAnsi"/>
          <w:lang w:eastAsia="sl-SI"/>
        </w:rPr>
        <w:t xml:space="preserve">strativni zaključek operacije.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Sprememba odobrene operacije</w:t>
      </w:r>
    </w:p>
    <w:p w:rsidR="001F3AD9" w:rsidRPr="001A1DFF" w:rsidRDefault="00304798"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mora biti izvedena v skladu s prijavljeno in s strani </w:t>
      </w:r>
      <w:r w:rsidR="00683656" w:rsidRPr="001A1DFF">
        <w:rPr>
          <w:rFonts w:eastAsia="Times New Roman" w:cstheme="minorHAnsi"/>
          <w:bCs/>
          <w:lang w:eastAsia="sl-SI"/>
        </w:rPr>
        <w:t>MGRT</w:t>
      </w:r>
      <w:r w:rsidRPr="001A1DFF">
        <w:rPr>
          <w:rFonts w:eastAsia="Times New Roman" w:cstheme="minorHAnsi"/>
          <w:bCs/>
          <w:lang w:eastAsia="sl-SI"/>
        </w:rPr>
        <w:t xml:space="preserve"> odobreno vsebino ter področno zakonodajo. Ne glede na to, lahko upravičenec v obdobju izvajanja operacije in pred nastankom sprememb največ dvakrat zaprosi za spremembo operacije v skladu s posebnimi pogoji, ki veljajo za ESRR. Če upravičenec operacije ne izvede v skladu z odobreno operacijo (ali odobreno spremembo), se mu podpora ne izplača.</w:t>
      </w:r>
    </w:p>
    <w:p w:rsidR="00B0207B" w:rsidRPr="001A1DFF" w:rsidRDefault="001F3AD9"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 </w:t>
      </w: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Obveznost označevanja vira sofinanciranja</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bo moral pri informiranju in obveščanju javnosti upoštevati 115. in 116. člen Uredbe 1303/2013/EU in veljavna Navodila organa upravljanja na področju komuniciranja vsebin na področju evropske kohezijske politike za programsko obdobje 2014-2020 (dostopna na: </w:t>
      </w:r>
      <w:hyperlink r:id="rId14" w:history="1">
        <w:r w:rsidRPr="001A1DFF">
          <w:rPr>
            <w:rStyle w:val="Hiperpovezava"/>
            <w:rFonts w:eastAsia="Times New Roman" w:cstheme="minorHAnsi"/>
            <w:bCs/>
            <w:color w:val="auto"/>
            <w:lang w:eastAsia="sl-SI"/>
          </w:rPr>
          <w:t>http://www.eu-skladi.si/ekp/navodila</w:t>
        </w:r>
      </w:hyperlink>
      <w:r w:rsidRPr="001A1DFF">
        <w:rPr>
          <w:rFonts w:eastAsia="Times New Roman" w:cstheme="minorHAnsi"/>
          <w:bCs/>
          <w:lang w:eastAsia="sl-SI"/>
        </w:rPr>
        <w:t>). Sprejetje financiranja s strani upravičenca pomeni tudi privolitev v vključitev na seznam operacij, ki bo javno objavljen.</w:t>
      </w:r>
      <w:r w:rsidR="00C93632"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sofinancirane operacije ne označi ali označbo odstrani, mora v proračun Republike Slovenije vrniti vsa izplačana sredstva skupaj z zakonitimi zamudnimi obrestmi.</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Druge obveznosti upravičenca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ki prejme podporo na podlagi tega javnega poziva, mora vso </w:t>
      </w:r>
      <w:r w:rsidRPr="001A1DFF">
        <w:rPr>
          <w:rFonts w:eastAsia="Times New Roman" w:cstheme="minorHAnsi"/>
          <w:b/>
          <w:lang w:eastAsia="sl-SI"/>
        </w:rPr>
        <w:t>dokumentacijo</w:t>
      </w:r>
      <w:r w:rsidRPr="001A1DFF">
        <w:rPr>
          <w:rFonts w:eastAsia="Times New Roman" w:cstheme="minorHAnsi"/>
          <w:lang w:eastAsia="sl-SI"/>
        </w:rPr>
        <w:t xml:space="preserve">, ki je bila podlaga za izplačilo podpore, </w:t>
      </w:r>
      <w:r w:rsidRPr="001A1DFF">
        <w:rPr>
          <w:rFonts w:eastAsia="Times New Roman" w:cstheme="minorHAnsi"/>
          <w:b/>
          <w:lang w:eastAsia="sl-SI"/>
        </w:rPr>
        <w:t>hraniti še najmanj pet let</w:t>
      </w:r>
      <w:r w:rsidRPr="001A1DFF">
        <w:rPr>
          <w:rFonts w:eastAsia="Times New Roman" w:cstheme="minorHAnsi"/>
          <w:lang w:eastAsia="sl-SI"/>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mora omogočiti dostop do dokumentacije o operaciji </w:t>
      </w:r>
      <w:r w:rsidRPr="001A1DFF">
        <w:rPr>
          <w:rFonts w:eastAsia="Times New Roman" w:cstheme="minorHAnsi"/>
          <w:b/>
          <w:lang w:eastAsia="sl-SI"/>
        </w:rPr>
        <w:t>ter kontrolo na kraju samem</w:t>
      </w:r>
      <w:r w:rsidRPr="001A1DFF">
        <w:rPr>
          <w:rFonts w:eastAsia="Times New Roman" w:cstheme="minorHAnsi"/>
          <w:lang w:eastAsia="sl-SI"/>
        </w:rPr>
        <w:t xml:space="preserve"> kontrolnim organo</w:t>
      </w:r>
      <w:r w:rsidR="00D86F67" w:rsidRPr="001A1DFF">
        <w:rPr>
          <w:rFonts w:eastAsia="Times New Roman" w:cstheme="minorHAnsi"/>
          <w:lang w:eastAsia="sl-SI"/>
        </w:rPr>
        <w:t>m LAS, kontrolnim organom organov</w:t>
      </w:r>
      <w:r w:rsidRPr="001A1DFF">
        <w:rPr>
          <w:rFonts w:eastAsia="Times New Roman" w:cstheme="minorHAnsi"/>
          <w:lang w:eastAsia="sl-SI"/>
        </w:rPr>
        <w:t xml:space="preserve"> upravljanja CLLD, revizijskemu organu in drugim organom, ki opravljajo nadzor nad porabo finančnih sr</w:t>
      </w:r>
      <w:r w:rsidR="00D86F67" w:rsidRPr="001A1DFF">
        <w:rPr>
          <w:rFonts w:eastAsia="Times New Roman" w:cstheme="minorHAnsi"/>
          <w:lang w:eastAsia="sl-SI"/>
        </w:rPr>
        <w:t>edstev ESRR</w:t>
      </w:r>
      <w:r w:rsidRPr="001A1DFF">
        <w:rPr>
          <w:rFonts w:eastAsia="Times New Roman" w:cstheme="minorHAnsi"/>
          <w:lang w:eastAsia="sl-SI"/>
        </w:rPr>
        <w:t>. Upravičenec, ki iz neutemeljenega razloga ne omogoči takšne kontrole in jo nepreklicno odkloni, mora v proračun Republike Slovenije vrniti vsa izplačana sredstva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se ugotovi, da je upravičenec </w:t>
      </w:r>
      <w:r w:rsidRPr="001A1DFF">
        <w:rPr>
          <w:rFonts w:eastAsia="Times New Roman" w:cstheme="minorHAnsi"/>
          <w:b/>
          <w:lang w:eastAsia="sl-SI"/>
        </w:rPr>
        <w:t>namerno vložil napačno vlogo</w:t>
      </w:r>
      <w:r w:rsidRPr="001A1DFF">
        <w:rPr>
          <w:rFonts w:eastAsia="Times New Roman" w:cstheme="minorHAnsi"/>
          <w:lang w:eastAsia="sl-SI"/>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1A1DFF">
        <w:rPr>
          <w:rFonts w:eastAsia="Times New Roman" w:cstheme="minorHAnsi"/>
          <w:lang w:eastAsia="sl-SI"/>
        </w:rPr>
        <w:t>podukrepa</w:t>
      </w:r>
      <w:proofErr w:type="spellEnd"/>
      <w:r w:rsidRPr="001A1DFF">
        <w:rPr>
          <w:rFonts w:eastAsia="Times New Roman" w:cstheme="minorHAnsi"/>
          <w:lang w:eastAsia="sl-SI"/>
        </w:rPr>
        <w:t xml:space="preserve"> za koledarsko leto neizpolnitve obveznosti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upravičenec </w:t>
      </w:r>
      <w:r w:rsidRPr="001A1DFF">
        <w:rPr>
          <w:rFonts w:eastAsia="Times New Roman" w:cstheme="minorHAnsi"/>
          <w:b/>
          <w:lang w:eastAsia="sl-SI"/>
        </w:rPr>
        <w:t>ne doseže ciljev operacije</w:t>
      </w:r>
      <w:r w:rsidRPr="001A1DFF">
        <w:rPr>
          <w:rFonts w:eastAsia="Times New Roman" w:cstheme="minorHAnsi"/>
          <w:lang w:eastAsia="sl-SI"/>
        </w:rPr>
        <w:t>, kot je to opredelil v vlogi za odobritev (sofinanciranje) operacije, se mu obseg podpore v sorazmernem deležu zniža, kar pomeni, da se mu zniža delež podpore v enakem odstotku, kot ni bil dosežen zastavljeni cilj.</w:t>
      </w:r>
    </w:p>
    <w:p w:rsidR="001A6576" w:rsidRPr="001A1DFF" w:rsidRDefault="001A6576" w:rsidP="00C93632">
      <w:pPr>
        <w:widowControl w:val="0"/>
        <w:autoSpaceDE w:val="0"/>
        <w:autoSpaceDN w:val="0"/>
        <w:adjustRightInd w:val="0"/>
        <w:spacing w:after="0"/>
        <w:jc w:val="both"/>
        <w:rPr>
          <w:rFonts w:eastAsia="Times New Roman" w:cstheme="minorHAnsi"/>
          <w:lang w:eastAsia="sl-SI"/>
        </w:rPr>
      </w:pPr>
    </w:p>
    <w:p w:rsidR="001A6576" w:rsidRPr="001A1DFF" w:rsidRDefault="002B140B"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mora z izvedbo operacije slediti doseganju</w:t>
      </w:r>
      <w:r w:rsidR="001A6576" w:rsidRPr="001A1DFF">
        <w:rPr>
          <w:rFonts w:eastAsia="Times New Roman" w:cstheme="minorHAnsi"/>
          <w:lang w:eastAsia="sl-SI"/>
        </w:rPr>
        <w:t xml:space="preserve"> ciljev</w:t>
      </w:r>
      <w:r w:rsidRPr="001A1DFF">
        <w:rPr>
          <w:rFonts w:eastAsia="Times New Roman" w:cstheme="minorHAnsi"/>
          <w:lang w:eastAsia="sl-SI"/>
        </w:rPr>
        <w:t xml:space="preserve"> SLR in ciljev Operativnega programa izvajanja kohezijske politike 2014 - 2020 ter pri kazalnikih </w:t>
      </w:r>
      <w:r w:rsidR="001A6576" w:rsidRPr="001A1DFF">
        <w:rPr>
          <w:rFonts w:eastAsia="Times New Roman" w:cstheme="minorHAnsi"/>
          <w:lang w:eastAsia="sl-SI"/>
        </w:rPr>
        <w:t>operacije</w:t>
      </w:r>
      <w:r w:rsidRPr="001A1DFF">
        <w:rPr>
          <w:rFonts w:eastAsia="Times New Roman" w:cstheme="minorHAnsi"/>
          <w:lang w:eastAsia="sl-SI"/>
        </w:rPr>
        <w:t xml:space="preserve"> izhajati iz kazalnikov  v SLR in prej navedenega Operativnega programa.</w:t>
      </w:r>
    </w:p>
    <w:p w:rsidR="00283E04" w:rsidRPr="001A1DFF" w:rsidRDefault="00283E04" w:rsidP="002B140B">
      <w:pPr>
        <w:widowControl w:val="0"/>
        <w:tabs>
          <w:tab w:val="left" w:pos="1545"/>
        </w:tabs>
        <w:autoSpaceDE w:val="0"/>
        <w:autoSpaceDN w:val="0"/>
        <w:adjustRightInd w:val="0"/>
        <w:spacing w:after="0"/>
        <w:jc w:val="both"/>
        <w:rPr>
          <w:rFonts w:eastAsia="Times New Roman" w:cstheme="minorHAnsi"/>
          <w:highlight w:val="yellow"/>
          <w:lang w:eastAsia="sl-SI"/>
        </w:rPr>
      </w:pPr>
      <w:bookmarkStart w:id="2" w:name="page11"/>
      <w:bookmarkEnd w:id="2"/>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SANKCIJE ZARADI NEIZPOLNJENVANJA OBVEZNOSTI</w:t>
      </w:r>
    </w:p>
    <w:p w:rsidR="00CE43C3" w:rsidRPr="001A1DFF" w:rsidRDefault="00CE43C3" w:rsidP="00D07FA0">
      <w:pPr>
        <w:widowControl w:val="0"/>
        <w:autoSpaceDE w:val="0"/>
        <w:autoSpaceDN w:val="0"/>
        <w:adjustRightInd w:val="0"/>
        <w:spacing w:after="0"/>
        <w:jc w:val="both"/>
        <w:rPr>
          <w:rFonts w:cstheme="minorHAnsi"/>
          <w:bCs/>
        </w:rPr>
      </w:pPr>
      <w:r w:rsidRPr="001A1DFF">
        <w:rPr>
          <w:rFonts w:cstheme="minorHAnsi"/>
        </w:rPr>
        <w:t>Neizpolnitev ali kršitev obveznosti sofinanciranih iz naslova ESRR se sankcionira v skladu s 143. členom Uredbe 1303/2013/EU.</w:t>
      </w:r>
    </w:p>
    <w:p w:rsidR="00D07FA0" w:rsidRPr="001A1DFF" w:rsidRDefault="00D07FA0" w:rsidP="00D07FA0">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w:t>
      </w:r>
      <w:r w:rsidR="00186A82" w:rsidRPr="001A1DFF">
        <w:rPr>
          <w:rFonts w:eastAsia="Times New Roman" w:cstheme="minorHAnsi"/>
          <w:bCs/>
          <w:lang w:eastAsia="sl-SI"/>
        </w:rPr>
        <w:t xml:space="preserve"> </w:t>
      </w:r>
      <w:r w:rsidRPr="001A1DFF">
        <w:rPr>
          <w:rFonts w:eastAsia="Times New Roman" w:cstheme="minorHAnsi"/>
          <w:bCs/>
          <w:lang w:eastAsia="sl-SI"/>
        </w:rPr>
        <w:t xml:space="preserve">ukrepa </w:t>
      </w:r>
      <w:r w:rsidRPr="001A1DFF">
        <w:rPr>
          <w:rFonts w:eastAsia="Times New Roman" w:cstheme="minorHAnsi"/>
          <w:lang w:eastAsia="sl-SI"/>
        </w:rPr>
        <w:t>»</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v okviru podore za lokalni razvoj, ki ga vodi skupnost) </w:t>
      </w:r>
      <w:r w:rsidRPr="001A1DFF">
        <w:rPr>
          <w:rFonts w:eastAsia="Times New Roman" w:cstheme="minorHAnsi"/>
          <w:bCs/>
          <w:lang w:eastAsia="sl-SI"/>
        </w:rPr>
        <w:t>in se ga izključi iz zadevnega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neizpolnitve obveznosti in naslednje koledarsko leto.</w:t>
      </w: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ugotovitve kršitve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1A6576" w:rsidRPr="001A1DFF" w:rsidRDefault="001A6576"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OCENJEVANJE OPERACIJ IN MERILA ZA OCENJEVANJE</w:t>
      </w:r>
    </w:p>
    <w:p w:rsidR="00411603" w:rsidRPr="001A1DFF" w:rsidRDefault="00411603" w:rsidP="00411603">
      <w:pPr>
        <w:spacing w:after="0"/>
        <w:jc w:val="both"/>
        <w:rPr>
          <w:rFonts w:cstheme="minorHAnsi"/>
          <w:bCs/>
        </w:rPr>
      </w:pPr>
      <w:r w:rsidRPr="001A1DFF">
        <w:rPr>
          <w:rFonts w:cstheme="minorHAnsi"/>
          <w:bCs/>
        </w:rPr>
        <w:t>Ocenjevanje operacij poteka v dveh fazah in sicer se ocenjujejo najprej z vidika</w:t>
      </w:r>
      <w:r w:rsidR="00186A82" w:rsidRPr="001A1DFF">
        <w:rPr>
          <w:rFonts w:cstheme="minorHAnsi"/>
          <w:bCs/>
        </w:rPr>
        <w:t xml:space="preserve"> p</w:t>
      </w:r>
      <w:r w:rsidRPr="001A1DFF">
        <w:rPr>
          <w:rFonts w:cstheme="minorHAnsi"/>
          <w:bCs/>
        </w:rPr>
        <w:t xml:space="preserve">ogojev za upravičenost, </w:t>
      </w:r>
      <w:r w:rsidR="006B7453" w:rsidRPr="001A1DFF">
        <w:rPr>
          <w:rFonts w:cstheme="minorHAnsi"/>
          <w:bCs/>
        </w:rPr>
        <w:t xml:space="preserve">nato </w:t>
      </w:r>
      <w:r w:rsidRPr="001A1DFF">
        <w:rPr>
          <w:rFonts w:cstheme="minorHAnsi"/>
          <w:bCs/>
        </w:rPr>
        <w:t>še z vidika specifičnih meril.</w:t>
      </w:r>
    </w:p>
    <w:p w:rsidR="00B0207B" w:rsidRPr="001A1DFF" w:rsidRDefault="00B0207B" w:rsidP="00C93632">
      <w:pPr>
        <w:spacing w:after="0"/>
        <w:jc w:val="both"/>
        <w:rPr>
          <w:rFonts w:eastAsia="Times New Roman" w:cstheme="minorHAnsi"/>
          <w:bCs/>
          <w:lang w:eastAsia="sl-SI"/>
        </w:rPr>
      </w:pPr>
    </w:p>
    <w:p w:rsidR="00C93632" w:rsidRPr="001A1DFF" w:rsidRDefault="00411603"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cstheme="minorHAnsi"/>
          <w:b/>
        </w:rPr>
        <w:t>Pogoji za upravičenost</w:t>
      </w:r>
    </w:p>
    <w:p w:rsidR="00C93632" w:rsidRPr="001A1DFF" w:rsidRDefault="00D07FA0" w:rsidP="00C93632">
      <w:pPr>
        <w:spacing w:after="0"/>
        <w:jc w:val="both"/>
        <w:rPr>
          <w:rFonts w:eastAsia="Times New Roman" w:cstheme="minorHAnsi"/>
          <w:bCs/>
          <w:lang w:eastAsia="sl-SI"/>
        </w:rPr>
      </w:pPr>
      <w:r w:rsidRPr="001A1DFF">
        <w:rPr>
          <w:rFonts w:cstheme="minorHAnsi"/>
        </w:rPr>
        <w:t>Pogoji za upravičenost</w:t>
      </w:r>
      <w:r w:rsidR="00C93632" w:rsidRPr="001A1DFF">
        <w:rPr>
          <w:rFonts w:eastAsia="Times New Roman" w:cstheme="minorHAnsi"/>
          <w:bCs/>
          <w:lang w:eastAsia="sl-SI"/>
        </w:rPr>
        <w:t xml:space="preserve"> so osnovna merila, ki jih mora izpolnjevati vsaka prijava, da se jo oceni še z vidika specifičnih meril. </w:t>
      </w:r>
      <w:r w:rsidRPr="001A1DFF">
        <w:rPr>
          <w:rFonts w:cstheme="minorHAnsi"/>
        </w:rPr>
        <w:t>Pogoji za upravičenost</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prijava je prispela pravočasno in je pravilno označena ter zaprta,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prijava je v celoti izpolnjena na predpisanem obrazcu,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 so priložene vse v javnem pozivu zahtevane izjave in dokumenti,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prijavitelj in morebitni partnerji izpolnjujejo pogoje za upravičenca,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bo izvajala na območju</w:t>
      </w:r>
      <w:r w:rsidR="00BC4C61" w:rsidRPr="001A1DFF">
        <w:rPr>
          <w:rFonts w:eastAsia="Times New Roman" w:cstheme="minorHAnsi"/>
          <w:bCs/>
          <w:lang w:eastAsia="sl-SI"/>
        </w:rPr>
        <w:t xml:space="preserve"> </w:t>
      </w:r>
      <w:r w:rsidRPr="001A1DFF">
        <w:rPr>
          <w:rFonts w:eastAsia="Times New Roman" w:cstheme="minorHAnsi"/>
          <w:bCs/>
          <w:lang w:eastAsia="sl-SI"/>
        </w:rPr>
        <w:t xml:space="preserve"> LAS</w:t>
      </w:r>
      <w:r w:rsidR="00BC4C61" w:rsidRPr="001A1DFF">
        <w:rPr>
          <w:rFonts w:eastAsia="Times New Roman" w:cstheme="minorHAnsi"/>
          <w:bCs/>
          <w:lang w:eastAsia="sl-SI"/>
        </w:rPr>
        <w:t xml:space="preserve"> v upravičenih naseljih</w:t>
      </w:r>
      <w:r w:rsidRPr="001A1DFF">
        <w:rPr>
          <w:rFonts w:eastAsia="Times New Roman" w:cstheme="minorHAnsi"/>
          <w:bCs/>
          <w:lang w:eastAsia="sl-SI"/>
        </w:rPr>
        <w:t>,</w:t>
      </w:r>
    </w:p>
    <w:p w:rsidR="00C93632" w:rsidRPr="001A1DFF" w:rsidRDefault="00C93632" w:rsidP="00BC4C61">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prijavljena operacija je skladna s cilji Strategije lokalnega razvoja in cilji </w:t>
      </w:r>
      <w:r w:rsidR="00BC4C61" w:rsidRPr="001A1DFF">
        <w:rPr>
          <w:rFonts w:eastAsia="Times New Roman" w:cstheme="minorHAnsi"/>
          <w:bCs/>
          <w:lang w:eastAsia="sl-SI"/>
        </w:rPr>
        <w:t>Operativnega programa za izvajanje Evropske kohezijske politike v obdobju 2014-2020</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operacija, predlagana za sofinanciranje, se še ni pričela izvajati,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zaprošen znesek za sofinanciranje je v mejah, kot jih določa javni poziv,</w:t>
      </w:r>
    </w:p>
    <w:p w:rsidR="00C93632" w:rsidRPr="001A1DFF" w:rsidRDefault="00C93632" w:rsidP="00C93632">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ima zaprto finančno konstrukcijo in zagotovljene lastne finančne vire za izvedbo operacije v celoti,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ne financira iz drugih javnih sredstev  (dvojno financiranje) in</w:t>
      </w:r>
    </w:p>
    <w:p w:rsidR="00C93632" w:rsidRPr="001A1DFF" w:rsidRDefault="00C93632" w:rsidP="00C93632">
      <w:pPr>
        <w:spacing w:after="0"/>
        <w:ind w:left="720" w:hanging="720"/>
        <w:jc w:val="both"/>
        <w:rPr>
          <w:rFonts w:eastAsia="Times New Roman" w:cstheme="minorHAnsi"/>
          <w:lang w:eastAsia="sl-SI"/>
        </w:rPr>
      </w:pPr>
      <w:r w:rsidRPr="001A1DFF">
        <w:rPr>
          <w:rFonts w:eastAsia="Times New Roman" w:cstheme="minorHAnsi"/>
          <w:bCs/>
          <w:lang w:eastAsia="sl-SI"/>
        </w:rPr>
        <w:t>-</w:t>
      </w:r>
      <w:r w:rsidRPr="001A1DFF">
        <w:rPr>
          <w:rFonts w:eastAsia="Times New Roman" w:cstheme="minorHAnsi"/>
          <w:bCs/>
          <w:lang w:eastAsia="sl-SI"/>
        </w:rPr>
        <w:tab/>
        <w:t>izvedba prijavljene operacije je v skladu z veljavno zakonodajo in so zanjo izdana vsa relevantna soglasja ali d</w:t>
      </w:r>
      <w:r w:rsidR="002C7B40" w:rsidRPr="001A1DFF">
        <w:rPr>
          <w:rFonts w:eastAsia="Times New Roman" w:cstheme="minorHAnsi"/>
          <w:bCs/>
          <w:lang w:eastAsia="sl-SI"/>
        </w:rPr>
        <w:t>ovoljenja (kjer je to potrebno),</w:t>
      </w:r>
    </w:p>
    <w:p w:rsidR="002C7B40" w:rsidRPr="001A1DFF" w:rsidRDefault="002C7B40" w:rsidP="002C7B40">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prijavljeno operacijo je možno sofinancirati glede na upoštevanje dogovorjene porazdelitve sredstev po območju LAS, v upravičenih naseljih posamezne občine.</w:t>
      </w:r>
    </w:p>
    <w:p w:rsidR="002C7B40" w:rsidRPr="001A1DFF" w:rsidRDefault="002C7B40" w:rsidP="00C93632">
      <w:pPr>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Specifična merila</w:t>
      </w:r>
    </w:p>
    <w:p w:rsidR="00FA6926" w:rsidRPr="001A1DFF" w:rsidRDefault="00D07FA0" w:rsidP="00FA6926">
      <w:pPr>
        <w:spacing w:after="0"/>
        <w:jc w:val="both"/>
        <w:rPr>
          <w:rFonts w:cstheme="minorHAnsi"/>
        </w:rPr>
      </w:pPr>
      <w:r w:rsidRPr="001A1DFF">
        <w:rPr>
          <w:rFonts w:cstheme="minorHAnsi"/>
        </w:rPr>
        <w:t xml:space="preserve">Specifična merila so merila, na podlagi katerih se točkuje prijave, ki izpolnjujejo vse </w:t>
      </w:r>
      <w:r w:rsidR="00186A82" w:rsidRPr="001A1DFF">
        <w:rPr>
          <w:rFonts w:cstheme="minorHAnsi"/>
        </w:rPr>
        <w:t>p</w:t>
      </w:r>
      <w:r w:rsidRPr="001A1DFF">
        <w:rPr>
          <w:rFonts w:cstheme="minorHAnsi"/>
        </w:rPr>
        <w:t>ogoje za upravičenost z namenom izbora operacij, ki bodo sofinancirane.  Specifična merila so: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1A1DFF" w:rsidRPr="001A1DFF" w:rsidTr="001A6576">
        <w:trPr>
          <w:trHeight w:val="538"/>
        </w:trPr>
        <w:tc>
          <w:tcPr>
            <w:tcW w:w="734"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2C7B40">
        <w:trPr>
          <w:trHeight w:val="326"/>
        </w:trPr>
        <w:tc>
          <w:tcPr>
            <w:tcW w:w="734" w:type="dxa"/>
            <w:shd w:val="clear" w:color="auto" w:fill="E5B8B7" w:themeFill="accent2" w:themeFillTint="66"/>
            <w:vAlign w:val="center"/>
          </w:tcPr>
          <w:p w:rsidR="00FA6926" w:rsidRPr="001A1DFF" w:rsidRDefault="00FA6926" w:rsidP="002C7B40">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Specifična merila</w:t>
            </w:r>
          </w:p>
        </w:tc>
        <w:tc>
          <w:tcPr>
            <w:tcW w:w="1843"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c>
          <w:tcPr>
            <w:tcW w:w="1559"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r>
      <w:tr w:rsidR="001A1DFF" w:rsidRPr="001A1DFF" w:rsidTr="001A6576">
        <w:trPr>
          <w:trHeight w:val="28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01</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Prispevek </w:t>
            </w:r>
            <w:r w:rsidR="002C7B40" w:rsidRPr="001A1DFF">
              <w:rPr>
                <w:rFonts w:eastAsia="Times New Roman" w:cstheme="minorHAnsi"/>
                <w:b/>
                <w:lang w:eastAsia="sl-SI"/>
              </w:rPr>
              <w:t xml:space="preserve">operacije </w:t>
            </w:r>
            <w:r w:rsidRPr="001A1DFF">
              <w:rPr>
                <w:rFonts w:eastAsia="Times New Roman" w:cstheme="minorHAnsi"/>
                <w:b/>
                <w:lang w:eastAsia="sl-SI"/>
              </w:rPr>
              <w:t>k doseganju ciljev SLR</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20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2C7B40">
        <w:trPr>
          <w:trHeight w:val="35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02</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8</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30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03</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Okoljska trajnost</w:t>
            </w:r>
          </w:p>
        </w:tc>
        <w:tc>
          <w:tcPr>
            <w:tcW w:w="1843" w:type="dxa"/>
            <w:shd w:val="clear" w:color="auto" w:fill="F2DBDB" w:themeFill="accent2" w:themeFillTint="33"/>
            <w:vAlign w:val="center"/>
          </w:tcPr>
          <w:p w:rsidR="00FA6926" w:rsidRPr="001A1DFF" w:rsidRDefault="00C22BE3"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6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04</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Socialna vzdržnost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1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05</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12</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9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06</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na območje LAS</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5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07</w:t>
            </w:r>
          </w:p>
        </w:tc>
        <w:tc>
          <w:tcPr>
            <w:tcW w:w="5645" w:type="dxa"/>
            <w:shd w:val="clear" w:color="auto" w:fill="F2DBDB" w:themeFill="accent2" w:themeFillTint="33"/>
            <w:vAlign w:val="center"/>
          </w:tcPr>
          <w:p w:rsidR="00FA6926" w:rsidRPr="001A1DFF" w:rsidRDefault="001E7EE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3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08</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2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09</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strike/>
                <w:lang w:eastAsia="sl-SI"/>
              </w:rPr>
            </w:pPr>
            <w:r w:rsidRPr="001A1DFF">
              <w:rPr>
                <w:rFonts w:eastAsia="Times New Roman" w:cstheme="minorHAnsi"/>
                <w:b/>
                <w:lang w:eastAsia="sl-SI"/>
              </w:rPr>
              <w:t>Trajnost projektnih rezultatov</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7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10</w:t>
            </w:r>
          </w:p>
        </w:tc>
        <w:tc>
          <w:tcPr>
            <w:tcW w:w="5645" w:type="dxa"/>
            <w:shd w:val="clear" w:color="auto" w:fill="F2DBDB" w:themeFill="accent2" w:themeFillTint="33"/>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Upravljanje operacij</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92"/>
        </w:trPr>
        <w:tc>
          <w:tcPr>
            <w:tcW w:w="734" w:type="dxa"/>
            <w:vAlign w:val="center"/>
          </w:tcPr>
          <w:p w:rsidR="00FA6926" w:rsidRPr="001A1DFF" w:rsidRDefault="00FA6926" w:rsidP="001A6576">
            <w:pPr>
              <w:tabs>
                <w:tab w:val="num" w:pos="348"/>
              </w:tabs>
              <w:spacing w:after="0" w:line="240" w:lineRule="auto"/>
              <w:ind w:left="-12"/>
              <w:jc w:val="center"/>
              <w:rPr>
                <w:rFonts w:eastAsia="Times New Roman" w:cstheme="minorHAnsi"/>
                <w:b/>
                <w:lang w:eastAsia="sl-SI"/>
              </w:rPr>
            </w:pPr>
          </w:p>
        </w:tc>
        <w:tc>
          <w:tcPr>
            <w:tcW w:w="5645" w:type="dxa"/>
            <w:shd w:val="clear" w:color="auto" w:fill="auto"/>
            <w:vAlign w:val="center"/>
          </w:tcPr>
          <w:p w:rsidR="00FA6926" w:rsidRPr="001A1DFF" w:rsidRDefault="00FA6926" w:rsidP="001A6576">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Skupaj</w:t>
            </w:r>
          </w:p>
        </w:tc>
        <w:tc>
          <w:tcPr>
            <w:tcW w:w="1843" w:type="dxa"/>
            <w:vAlign w:val="center"/>
          </w:tcPr>
          <w:p w:rsidR="00FA6926" w:rsidRPr="001A1DFF" w:rsidRDefault="00231CA1" w:rsidP="001A6576">
            <w:pPr>
              <w:spacing w:after="0" w:line="240" w:lineRule="auto"/>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559" w:type="dxa"/>
            <w:vAlign w:val="center"/>
          </w:tcPr>
          <w:p w:rsidR="00FA6926" w:rsidRPr="001A1DFF" w:rsidRDefault="00FA6926" w:rsidP="00C06BCC">
            <w:pPr>
              <w:jc w:val="center"/>
              <w:rPr>
                <w:rFonts w:eastAsia="Times New Roman" w:cstheme="minorHAnsi"/>
                <w:b/>
                <w:lang w:eastAsia="sl-SI"/>
              </w:rPr>
            </w:pPr>
          </w:p>
        </w:tc>
      </w:tr>
    </w:tbl>
    <w:p w:rsidR="00FA6926" w:rsidRPr="001A1DFF" w:rsidRDefault="00FA6926" w:rsidP="00FA6926">
      <w:pPr>
        <w:widowControl w:val="0"/>
        <w:autoSpaceDE w:val="0"/>
        <w:autoSpaceDN w:val="0"/>
        <w:adjustRightInd w:val="0"/>
        <w:spacing w:after="0"/>
        <w:jc w:val="both"/>
        <w:rPr>
          <w:rFonts w:eastAsia="Times New Roman" w:cstheme="minorHAnsi"/>
          <w:b/>
          <w:u w:val="single"/>
          <w:lang w:eastAsia="sl-SI"/>
        </w:rPr>
      </w:pPr>
    </w:p>
    <w:p w:rsidR="00FA6926" w:rsidRPr="001A1DFF" w:rsidRDefault="00FA6926" w:rsidP="00FA6926">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Opis specifičnih meril</w:t>
      </w:r>
    </w:p>
    <w:p w:rsidR="00FA6926" w:rsidRPr="001A1DFF" w:rsidRDefault="00FA6926" w:rsidP="00FA6926">
      <w:pPr>
        <w:widowControl w:val="0"/>
        <w:autoSpaceDE w:val="0"/>
        <w:autoSpaceDN w:val="0"/>
        <w:adjustRightInd w:val="0"/>
        <w:spacing w:after="0"/>
        <w:ind w:left="284"/>
        <w:jc w:val="both"/>
        <w:rPr>
          <w:rFonts w:eastAsia="Times New Roman" w:cstheme="minorHAnsi"/>
          <w:b/>
          <w:u w:val="single"/>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343674">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01</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Prispevek k doseganju ciljev SLR</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 xml:space="preserve">Operacija s svojimi aktivnostmi in rezultati podpira najmanj 3 cilje opredeljene v SLR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20</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najmanj 2 cilja opredeljena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1.3</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1 cilj opredeljen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tcPr>
          <w:p w:rsidR="00FA6926" w:rsidRPr="001A1DFF" w:rsidRDefault="00FA6926" w:rsidP="00C06BCC">
            <w:pPr>
              <w:spacing w:after="0"/>
              <w:jc w:val="both"/>
              <w:rPr>
                <w:rFonts w:eastAsia="Times New Roman" w:cstheme="minorHAnsi"/>
                <w:lang w:eastAsia="sl-SI"/>
              </w:rPr>
            </w:pPr>
          </w:p>
        </w:tc>
      </w:tr>
      <w:tr w:rsidR="00FA6926" w:rsidRPr="001A1DFF" w:rsidTr="00343674">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20</w:t>
            </w:r>
          </w:p>
        </w:tc>
        <w:tc>
          <w:tcPr>
            <w:tcW w:w="1417" w:type="dxa"/>
          </w:tcPr>
          <w:p w:rsidR="00FA6926" w:rsidRPr="001A1DFF" w:rsidRDefault="00FA6926" w:rsidP="00C06BCC">
            <w:pPr>
              <w:spacing w:after="0"/>
              <w:jc w:val="both"/>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02</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blaženju podnebnih sprememb in prilagajanju nanje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b/>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ohranjanju narave, okolja in spodbuja rabo endogenih potencialov</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.3</w:t>
            </w:r>
          </w:p>
        </w:tc>
        <w:tc>
          <w:tcPr>
            <w:tcW w:w="6183" w:type="dxa"/>
          </w:tcPr>
          <w:p w:rsidR="00FA6926" w:rsidRPr="001A1DFF" w:rsidRDefault="00FA6926" w:rsidP="002C7B40">
            <w:pPr>
              <w:spacing w:after="0"/>
              <w:jc w:val="both"/>
              <w:rPr>
                <w:rFonts w:eastAsia="Times New Roman" w:cstheme="minorHAnsi"/>
                <w:lang w:eastAsia="sl-SI"/>
              </w:rPr>
            </w:pPr>
            <w:r w:rsidRPr="001A1DFF">
              <w:rPr>
                <w:rFonts w:eastAsia="Times New Roman" w:cstheme="minorHAnsi"/>
                <w:lang w:eastAsia="sl-SI"/>
              </w:rPr>
              <w:t xml:space="preserve">Operacija predstavlja </w:t>
            </w:r>
            <w:r w:rsidR="002C7B40" w:rsidRPr="001A1DFF">
              <w:rPr>
                <w:rFonts w:eastAsia="Times New Roman" w:cstheme="minorHAnsi"/>
                <w:lang w:eastAsia="sl-SI"/>
              </w:rPr>
              <w:t xml:space="preserve">inovativnost oz. </w:t>
            </w:r>
            <w:r w:rsidRPr="001A1DFF">
              <w:rPr>
                <w:rFonts w:eastAsia="Times New Roman" w:cstheme="minorHAnsi"/>
                <w:lang w:eastAsia="sl-SI"/>
              </w:rPr>
              <w:t>novost na območju LAS (nove rešitve, nova ponudba, metode, storitve,…)</w:t>
            </w:r>
            <w:r w:rsidR="002C7B40" w:rsidRPr="001A1DFF">
              <w:rPr>
                <w:rFonts w:eastAsia="Times New Roman" w:cstheme="minorHAnsi"/>
                <w:lang w:eastAsia="sl-SI"/>
              </w:rPr>
              <w:t xml:space="preserve">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.4</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spodbuja enakost moških in žensk ter nediskriminacijo</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8</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03</w:t>
            </w:r>
          </w:p>
        </w:tc>
        <w:tc>
          <w:tcPr>
            <w:tcW w:w="6165"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Okoljska trajnost</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zagotavlja varovanje narave, ohranjanje in primerno rabo naravne in kulturne dediščine</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energetski učinkovitosti ali trajnostni mobilnosti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.3</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aktivnejšemu zdravemu življenju prebivalcev</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231CA1"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C22BE3" w:rsidP="00C06BCC">
            <w:pPr>
              <w:spacing w:after="0"/>
              <w:jc w:val="both"/>
              <w:rPr>
                <w:rFonts w:eastAsia="Times New Roman" w:cstheme="minorHAnsi"/>
                <w:b/>
                <w:lang w:eastAsia="sl-SI"/>
              </w:rPr>
            </w:pPr>
            <w:r w:rsidRPr="001A1DFF">
              <w:rPr>
                <w:rFonts w:eastAsia="Times New Roman" w:cstheme="minorHAnsi"/>
                <w:b/>
                <w:lang w:eastAsia="sl-SI"/>
              </w:rPr>
              <w:t>Skupaj največ (točke se</w:t>
            </w:r>
            <w:r w:rsidR="00FA6926" w:rsidRPr="001A1DFF">
              <w:rPr>
                <w:rFonts w:eastAsia="Times New Roman" w:cstheme="minorHAnsi"/>
                <w:b/>
                <w:lang w:eastAsia="sl-SI"/>
              </w:rPr>
              <w:t xml:space="preserve"> seštevajo!)</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w:t>
            </w:r>
            <w:r w:rsidR="00FA6926"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04</w:t>
            </w:r>
          </w:p>
        </w:tc>
        <w:tc>
          <w:tcPr>
            <w:tcW w:w="6165"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Socialna vzdržnost</w:t>
            </w:r>
          </w:p>
        </w:tc>
        <w:tc>
          <w:tcPr>
            <w:tcW w:w="1559"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se izvaja za posamezno prednostno ranljivo ciljno skupino iz SLR (otroci, starostniki, društva)</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 operacijo so vključene druge ranljive skupine (dela nezmožni ljudje, invalidi, ženske, mladi,…)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p w:rsidR="00C22BE3" w:rsidRPr="001A1DFF" w:rsidRDefault="00C22BE3" w:rsidP="00FA6926">
      <w:pPr>
        <w:spacing w:after="0"/>
        <w:jc w:val="both"/>
        <w:rPr>
          <w:rFonts w:eastAsia="Times New Roman" w:cstheme="minorHAnsi"/>
          <w:lang w:eastAsia="sl-SI"/>
        </w:rPr>
      </w:pPr>
    </w:p>
    <w:p w:rsidR="00B76570" w:rsidRPr="001A1DFF" w:rsidRDefault="00B76570" w:rsidP="00FA6926">
      <w:pPr>
        <w:spacing w:after="0"/>
        <w:jc w:val="both"/>
        <w:rPr>
          <w:rFonts w:eastAsia="Times New Roman" w:cstheme="minorHAnsi"/>
          <w:sz w:val="18"/>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05</w:t>
            </w:r>
          </w:p>
        </w:tc>
        <w:tc>
          <w:tcPr>
            <w:tcW w:w="6248"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Vključenost partnerjev</w:t>
            </w:r>
          </w:p>
        </w:tc>
        <w:tc>
          <w:tcPr>
            <w:tcW w:w="1559"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Možno število točk</w:t>
            </w:r>
          </w:p>
        </w:tc>
        <w:tc>
          <w:tcPr>
            <w:tcW w:w="1417"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Doseženo število točk</w:t>
            </w:r>
          </w:p>
        </w:tc>
      </w:tr>
      <w:tr w:rsidR="001A1DFF" w:rsidRPr="001A1DFF" w:rsidTr="00D34C7D">
        <w:tc>
          <w:tcPr>
            <w:tcW w:w="523" w:type="dxa"/>
            <w:vAlign w:val="center"/>
          </w:tcPr>
          <w:p w:rsidR="00FA6926" w:rsidRPr="001A1DFF" w:rsidRDefault="00FA6926" w:rsidP="00C06BCC">
            <w:pPr>
              <w:spacing w:after="0"/>
              <w:rPr>
                <w:rFonts w:cstheme="minorHAnsi"/>
              </w:rPr>
            </w:pPr>
            <w:r w:rsidRPr="001A1DFF">
              <w:rPr>
                <w:rFonts w:cstheme="minorHAnsi"/>
              </w:rPr>
              <w:t>5.1</w:t>
            </w:r>
          </w:p>
        </w:tc>
        <w:tc>
          <w:tcPr>
            <w:tcW w:w="6248" w:type="dxa"/>
            <w:vAlign w:val="center"/>
          </w:tcPr>
          <w:p w:rsidR="00FA6926" w:rsidRPr="001A1DFF" w:rsidRDefault="00FA6926" w:rsidP="00683656">
            <w:pPr>
              <w:spacing w:after="0"/>
              <w:rPr>
                <w:rFonts w:cstheme="minorHAnsi"/>
              </w:rPr>
            </w:pPr>
            <w:r w:rsidRPr="001A1DFF">
              <w:rPr>
                <w:rFonts w:cstheme="minorHAnsi"/>
              </w:rPr>
              <w:t xml:space="preserve">Pri operaciji sodeluje </w:t>
            </w:r>
            <w:r w:rsidR="00683656" w:rsidRPr="001A1DFF">
              <w:rPr>
                <w:rFonts w:cstheme="minorHAnsi"/>
              </w:rPr>
              <w:t xml:space="preserve">3  ali </w:t>
            </w:r>
            <w:r w:rsidRPr="001A1DFF">
              <w:rPr>
                <w:rFonts w:cstheme="minorHAnsi"/>
              </w:rPr>
              <w:t xml:space="preserve">več partnerjev iz različnih sektorjev.                        </w:t>
            </w:r>
          </w:p>
        </w:tc>
        <w:tc>
          <w:tcPr>
            <w:tcW w:w="1559" w:type="dxa"/>
            <w:vAlign w:val="center"/>
          </w:tcPr>
          <w:p w:rsidR="00FA6926" w:rsidRPr="001A1DFF" w:rsidRDefault="00FA6926" w:rsidP="00C06BCC">
            <w:pPr>
              <w:spacing w:after="0"/>
              <w:jc w:val="center"/>
              <w:rPr>
                <w:rFonts w:cstheme="minorHAnsi"/>
              </w:rPr>
            </w:pPr>
            <w:r w:rsidRPr="001A1DFF">
              <w:rPr>
                <w:rFonts w:cstheme="minorHAnsi"/>
              </w:rPr>
              <w:t>12</w:t>
            </w:r>
          </w:p>
        </w:tc>
        <w:tc>
          <w:tcPr>
            <w:tcW w:w="1417" w:type="dxa"/>
            <w:vAlign w:val="center"/>
          </w:tcPr>
          <w:p w:rsidR="00FA6926" w:rsidRPr="001A1DFF" w:rsidRDefault="00FA6926" w:rsidP="00C06BCC">
            <w:pPr>
              <w:spacing w:after="0"/>
              <w:jc w:val="center"/>
              <w:rPr>
                <w:rFonts w:cstheme="minorHAnsi"/>
              </w:rPr>
            </w:pPr>
          </w:p>
        </w:tc>
      </w:tr>
      <w:tr w:rsidR="001A1DFF" w:rsidRPr="001A1DFF" w:rsidTr="00D34C7D">
        <w:trPr>
          <w:trHeight w:val="299"/>
        </w:trPr>
        <w:tc>
          <w:tcPr>
            <w:tcW w:w="523" w:type="dxa"/>
            <w:vAlign w:val="center"/>
          </w:tcPr>
          <w:p w:rsidR="00FA6926" w:rsidRPr="001A1DFF" w:rsidRDefault="00FA6926" w:rsidP="00C06BCC">
            <w:pPr>
              <w:spacing w:after="0"/>
              <w:rPr>
                <w:rFonts w:cstheme="minorHAnsi"/>
              </w:rPr>
            </w:pPr>
            <w:r w:rsidRPr="001A1DFF">
              <w:rPr>
                <w:rFonts w:cstheme="minorHAnsi"/>
              </w:rPr>
              <w:t>5.2</w:t>
            </w:r>
          </w:p>
        </w:tc>
        <w:tc>
          <w:tcPr>
            <w:tcW w:w="6248" w:type="dxa"/>
            <w:vAlign w:val="center"/>
          </w:tcPr>
          <w:p w:rsidR="00FA6926" w:rsidRPr="001A1DFF" w:rsidRDefault="00FA6926" w:rsidP="00C06BCC">
            <w:pPr>
              <w:spacing w:after="0"/>
              <w:rPr>
                <w:rFonts w:cstheme="minorHAnsi"/>
              </w:rPr>
            </w:pPr>
            <w:r w:rsidRPr="001A1DFF">
              <w:rPr>
                <w:rFonts w:cstheme="minorHAnsi"/>
              </w:rPr>
              <w:t xml:space="preserve">Pri operaciji sodelujeta 2 partnerja iz različnih sektorjev.                                         </w:t>
            </w:r>
          </w:p>
        </w:tc>
        <w:tc>
          <w:tcPr>
            <w:tcW w:w="1559" w:type="dxa"/>
            <w:vAlign w:val="center"/>
          </w:tcPr>
          <w:p w:rsidR="00FA6926" w:rsidRPr="001A1DFF" w:rsidRDefault="00FA6926" w:rsidP="00C06BCC">
            <w:pPr>
              <w:spacing w:after="0"/>
              <w:jc w:val="center"/>
              <w:rPr>
                <w:rFonts w:cstheme="minorHAnsi"/>
              </w:rPr>
            </w:pPr>
            <w:r w:rsidRPr="001A1DFF">
              <w:rPr>
                <w:rFonts w:cstheme="minorHAnsi"/>
              </w:rPr>
              <w:t>10</w:t>
            </w:r>
          </w:p>
        </w:tc>
        <w:tc>
          <w:tcPr>
            <w:tcW w:w="1417" w:type="dxa"/>
            <w:vAlign w:val="center"/>
          </w:tcPr>
          <w:p w:rsidR="00FA6926" w:rsidRPr="001A1DFF" w:rsidRDefault="00FA6926" w:rsidP="00C06BCC">
            <w:pPr>
              <w:spacing w:after="0"/>
              <w:jc w:val="center"/>
              <w:rPr>
                <w:rFonts w:cstheme="minorHAnsi"/>
              </w:rPr>
            </w:pPr>
          </w:p>
        </w:tc>
      </w:tr>
      <w:tr w:rsidR="001A1DFF" w:rsidRPr="001A1DFF" w:rsidTr="00D34C7D">
        <w:trPr>
          <w:trHeight w:val="299"/>
        </w:trPr>
        <w:tc>
          <w:tcPr>
            <w:tcW w:w="523" w:type="dxa"/>
            <w:vAlign w:val="center"/>
          </w:tcPr>
          <w:p w:rsidR="00FA6926" w:rsidRPr="001A1DFF" w:rsidRDefault="00FA6926" w:rsidP="00C06BCC">
            <w:pPr>
              <w:spacing w:after="0"/>
              <w:rPr>
                <w:rFonts w:cstheme="minorHAnsi"/>
              </w:rPr>
            </w:pPr>
            <w:r w:rsidRPr="001A1DFF">
              <w:rPr>
                <w:rFonts w:cstheme="minorHAnsi"/>
              </w:rPr>
              <w:t>5.3</w:t>
            </w:r>
          </w:p>
        </w:tc>
        <w:tc>
          <w:tcPr>
            <w:tcW w:w="6248" w:type="dxa"/>
            <w:vAlign w:val="center"/>
          </w:tcPr>
          <w:p w:rsidR="00FA6926" w:rsidRPr="001A1DFF" w:rsidRDefault="00FA6926" w:rsidP="00C06BCC">
            <w:pPr>
              <w:spacing w:after="0"/>
              <w:rPr>
                <w:rFonts w:cstheme="minorHAnsi"/>
              </w:rPr>
            </w:pPr>
            <w:r w:rsidRPr="001A1DFF">
              <w:rPr>
                <w:rFonts w:cstheme="minorHAnsi"/>
              </w:rPr>
              <w:t xml:space="preserve">Pri operaciji sodelujeta vsaj 2 partnerja (prijavitelj in 1 partner).                     </w:t>
            </w:r>
          </w:p>
        </w:tc>
        <w:tc>
          <w:tcPr>
            <w:tcW w:w="1559" w:type="dxa"/>
            <w:vAlign w:val="center"/>
          </w:tcPr>
          <w:p w:rsidR="00FA6926" w:rsidRPr="001A1DFF" w:rsidRDefault="00FA6926" w:rsidP="00C06BCC">
            <w:pPr>
              <w:spacing w:after="0"/>
              <w:jc w:val="center"/>
              <w:rPr>
                <w:rFonts w:cstheme="minorHAnsi"/>
              </w:rPr>
            </w:pPr>
            <w:r w:rsidRPr="001A1DFF">
              <w:rPr>
                <w:rFonts w:cstheme="minorHAnsi"/>
              </w:rPr>
              <w:t>8</w:t>
            </w:r>
          </w:p>
        </w:tc>
        <w:tc>
          <w:tcPr>
            <w:tcW w:w="1417" w:type="dxa"/>
            <w:vAlign w:val="center"/>
          </w:tcPr>
          <w:p w:rsidR="00FA6926" w:rsidRPr="001A1DFF" w:rsidRDefault="00FA6926" w:rsidP="00C06BCC">
            <w:pPr>
              <w:spacing w:after="0"/>
              <w:jc w:val="center"/>
              <w:rPr>
                <w:rFonts w:cstheme="minorHAnsi"/>
              </w:rPr>
            </w:pPr>
          </w:p>
        </w:tc>
      </w:tr>
      <w:tr w:rsidR="00FA6926" w:rsidRPr="001A1DFF" w:rsidTr="00D34C7D">
        <w:tc>
          <w:tcPr>
            <w:tcW w:w="523" w:type="dxa"/>
          </w:tcPr>
          <w:p w:rsidR="00FA6926" w:rsidRPr="001A1DFF" w:rsidRDefault="00FA6926" w:rsidP="00C06BCC">
            <w:pPr>
              <w:spacing w:after="0"/>
              <w:jc w:val="both"/>
              <w:rPr>
                <w:rFonts w:cstheme="minorHAnsi"/>
                <w:b/>
              </w:rPr>
            </w:pPr>
          </w:p>
        </w:tc>
        <w:tc>
          <w:tcPr>
            <w:tcW w:w="6248" w:type="dxa"/>
          </w:tcPr>
          <w:p w:rsidR="00FA6926" w:rsidRPr="001A1DFF" w:rsidRDefault="00FA6926" w:rsidP="00C06BCC">
            <w:pPr>
              <w:spacing w:after="0"/>
              <w:jc w:val="both"/>
              <w:rPr>
                <w:rFonts w:cstheme="minorHAnsi"/>
                <w:b/>
              </w:rPr>
            </w:pPr>
            <w:r w:rsidRPr="001A1DFF">
              <w:rPr>
                <w:rFonts w:cstheme="minorHAnsi"/>
                <w:b/>
              </w:rPr>
              <w:t>Skupaj največ (točke se NE seštevajo!)</w:t>
            </w:r>
          </w:p>
        </w:tc>
        <w:tc>
          <w:tcPr>
            <w:tcW w:w="1559" w:type="dxa"/>
          </w:tcPr>
          <w:p w:rsidR="00FA6926" w:rsidRPr="001A1DFF" w:rsidRDefault="00FA6926" w:rsidP="00C06BCC">
            <w:pPr>
              <w:spacing w:after="0"/>
              <w:jc w:val="center"/>
              <w:rPr>
                <w:rFonts w:cstheme="minorHAnsi"/>
                <w:b/>
              </w:rPr>
            </w:pPr>
            <w:r w:rsidRPr="001A1DFF">
              <w:rPr>
                <w:rFonts w:cstheme="minorHAnsi"/>
                <w:b/>
              </w:rPr>
              <w:t>12</w:t>
            </w:r>
          </w:p>
        </w:tc>
        <w:tc>
          <w:tcPr>
            <w:tcW w:w="1417" w:type="dxa"/>
          </w:tcPr>
          <w:p w:rsidR="00FA6926" w:rsidRPr="001A1DFF" w:rsidRDefault="00FA6926" w:rsidP="00C06BCC">
            <w:pPr>
              <w:spacing w:after="0"/>
              <w:jc w:val="center"/>
              <w:rPr>
                <w:rFonts w:cstheme="minorHAnsi"/>
                <w:b/>
              </w:rPr>
            </w:pPr>
          </w:p>
        </w:tc>
      </w:tr>
    </w:tbl>
    <w:p w:rsidR="00F24F7F" w:rsidRPr="001A1DFF" w:rsidRDefault="00F24F7F" w:rsidP="00343674">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06</w:t>
            </w:r>
          </w:p>
        </w:tc>
        <w:tc>
          <w:tcPr>
            <w:tcW w:w="624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 xml:space="preserve">Vpliv na območje LAS </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.1</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treh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.2</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dveh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.3</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vsaj ene občine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23" w:type="dxa"/>
          </w:tcPr>
          <w:p w:rsidR="00FA6926" w:rsidRPr="001A1DFF" w:rsidRDefault="00FA6926" w:rsidP="00C06BCC">
            <w:pPr>
              <w:spacing w:after="0"/>
              <w:jc w:val="both"/>
              <w:rPr>
                <w:rFonts w:eastAsia="Times New Roman" w:cstheme="minorHAnsi"/>
                <w:b/>
                <w:lang w:eastAsia="sl-SI"/>
              </w:rPr>
            </w:pPr>
          </w:p>
        </w:tc>
        <w:tc>
          <w:tcPr>
            <w:tcW w:w="6248"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10</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eastAsia="Times New Roman" w:cstheme="minorHAnsi"/>
                <w:b/>
                <w:lang w:eastAsia="sl-SI"/>
              </w:rPr>
              <w:t>Ekonomska in družbena upravičenost operacije</w:t>
            </w:r>
            <w:r w:rsidRPr="001A1DFF">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Doseženo število točk</w:t>
            </w: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.1</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rPr>
            </w:pPr>
            <w:r w:rsidRPr="001A1DFF">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.2</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.3</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C341E0" w:rsidRPr="001A1DFF" w:rsidTr="00D34C7D">
        <w:tc>
          <w:tcPr>
            <w:tcW w:w="588"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b/>
              </w:rPr>
            </w:pPr>
            <w:r w:rsidRPr="001A1DFF">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b/>
              </w:rPr>
            </w:pPr>
            <w:r w:rsidRPr="001A1DFF">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b/>
              </w:rPr>
            </w:pPr>
          </w:p>
        </w:tc>
      </w:tr>
    </w:tbl>
    <w:p w:rsidR="008C1C25" w:rsidRPr="001A1DFF" w:rsidRDefault="008C1C25"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08</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i/>
                <w:lang w:eastAsia="sl-SI"/>
              </w:rPr>
            </w:pPr>
            <w:r w:rsidRPr="001A1DFF">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v celoti skladni z vsebino/rezultati, viri financiranja so jasno določeni</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delno skladni z vsebino/rezultati, viri financiranja so delno jasno določeni</w:t>
            </w:r>
          </w:p>
        </w:tc>
        <w:tc>
          <w:tcPr>
            <w:tcW w:w="1559" w:type="dxa"/>
            <w:vAlign w:val="center"/>
          </w:tcPr>
          <w:p w:rsidR="00FA6926" w:rsidRPr="001A1DFF" w:rsidRDefault="00D34C7D"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B0207B">
        <w:trPr>
          <w:trHeight w:val="569"/>
        </w:trPr>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09</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Trajnost projektnih rezultatov</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rPr>
          <w:trHeight w:val="756"/>
        </w:trPr>
        <w:tc>
          <w:tcPr>
            <w:tcW w:w="588" w:type="dxa"/>
          </w:tcPr>
          <w:p w:rsidR="00FA6926" w:rsidRPr="001A1DFF" w:rsidRDefault="005E2C66" w:rsidP="005E2C66">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.1</w:t>
            </w:r>
          </w:p>
        </w:tc>
        <w:tc>
          <w:tcPr>
            <w:tcW w:w="6183" w:type="dxa"/>
          </w:tcPr>
          <w:p w:rsidR="00FA6926" w:rsidRPr="001A1DFF" w:rsidRDefault="00FA6926" w:rsidP="00B76570">
            <w:pPr>
              <w:spacing w:after="0" w:line="240" w:lineRule="auto"/>
              <w:jc w:val="both"/>
              <w:rPr>
                <w:rFonts w:eastAsia="Times New Roman" w:cstheme="minorHAnsi"/>
                <w:lang w:eastAsia="sl-SI"/>
              </w:rPr>
            </w:pPr>
            <w:r w:rsidRPr="001A1DFF">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.2</w:t>
            </w:r>
          </w:p>
        </w:tc>
        <w:tc>
          <w:tcPr>
            <w:tcW w:w="6183" w:type="dxa"/>
          </w:tcPr>
          <w:p w:rsidR="00FA6926" w:rsidRPr="001A1DFF" w:rsidRDefault="00FA6926" w:rsidP="00B76570">
            <w:pPr>
              <w:spacing w:after="0" w:line="240" w:lineRule="auto"/>
              <w:rPr>
                <w:rFonts w:eastAsia="Times New Roman" w:cstheme="minorHAnsi"/>
                <w:lang w:eastAsia="sl-SI"/>
              </w:rPr>
            </w:pPr>
            <w:r w:rsidRPr="001A1DFF">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1A1DFF" w:rsidRPr="001A1DFF" w:rsidTr="00D34C7D">
        <w:tc>
          <w:tcPr>
            <w:tcW w:w="607"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10</w:t>
            </w:r>
          </w:p>
        </w:tc>
        <w:tc>
          <w:tcPr>
            <w:tcW w:w="6164"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Upravljanje operacije</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.1</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imajo izkušnje z izvajanjem operacij (reference)</w:t>
            </w:r>
            <w:r w:rsidR="00BD4A21" w:rsidRPr="001A1DFF">
              <w:rPr>
                <w:rFonts w:eastAsia="Times New Roman" w:cstheme="minorHAnsi"/>
                <w:lang w:eastAsia="sl-SI"/>
              </w:rPr>
              <w:t>.</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.2</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ima izkušnje z izvajanjem operacij (reference).</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.3</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(če so) nimajo izkušenj z izvajanjem operacij.</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7" w:type="dxa"/>
          </w:tcPr>
          <w:p w:rsidR="00FA6926" w:rsidRPr="001A1DFF" w:rsidRDefault="00FA6926" w:rsidP="00C06BCC">
            <w:pPr>
              <w:spacing w:after="0"/>
              <w:jc w:val="both"/>
              <w:rPr>
                <w:rFonts w:eastAsia="Times New Roman" w:cstheme="minorHAnsi"/>
                <w:b/>
                <w:lang w:eastAsia="sl-SI"/>
              </w:rPr>
            </w:pPr>
          </w:p>
        </w:tc>
        <w:tc>
          <w:tcPr>
            <w:tcW w:w="6164"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773BD1"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1A1DFF" w:rsidRPr="001A1DFF" w:rsidTr="0028107B">
        <w:trPr>
          <w:trHeight w:val="567"/>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C06BCC">
            <w:pPr>
              <w:spacing w:after="0"/>
              <w:jc w:val="both"/>
              <w:rPr>
                <w:rFonts w:eastAsia="Times New Roman" w:cstheme="minorHAnsi"/>
                <w:b/>
                <w:lang w:eastAsia="sl-SI"/>
              </w:rPr>
            </w:pP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231CA1" w:rsidRPr="001A1DFF" w:rsidTr="0028107B">
        <w:trPr>
          <w:trHeight w:val="343"/>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28107B">
            <w:pPr>
              <w:spacing w:after="0"/>
              <w:jc w:val="right"/>
              <w:rPr>
                <w:rFonts w:eastAsia="Times New Roman" w:cstheme="minorHAnsi"/>
                <w:b/>
                <w:lang w:eastAsia="sl-SI"/>
              </w:rPr>
            </w:pPr>
            <w:r w:rsidRPr="001A1DFF">
              <w:rPr>
                <w:rFonts w:eastAsia="Times New Roman" w:cstheme="minorHAnsi"/>
                <w:b/>
                <w:lang w:eastAsia="sl-SI"/>
              </w:rPr>
              <w:t>Število točk ocenjene operacije</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417" w:type="dxa"/>
          </w:tcPr>
          <w:p w:rsidR="00FA6926" w:rsidRPr="001A1DFF" w:rsidRDefault="00FA6926" w:rsidP="00C06BCC">
            <w:pPr>
              <w:spacing w:after="0"/>
              <w:jc w:val="center"/>
              <w:rPr>
                <w:rFonts w:eastAsia="Times New Roman" w:cstheme="minorHAnsi"/>
                <w:b/>
                <w:lang w:eastAsia="sl-SI"/>
              </w:rPr>
            </w:pPr>
          </w:p>
        </w:tc>
      </w:tr>
    </w:tbl>
    <w:p w:rsidR="006F3C28" w:rsidRPr="001A1DFF" w:rsidRDefault="006F3C28" w:rsidP="006F3C28">
      <w:pPr>
        <w:tabs>
          <w:tab w:val="left" w:leader="underscore" w:pos="6840"/>
        </w:tabs>
        <w:spacing w:after="0"/>
        <w:rPr>
          <w:rFonts w:cstheme="minorHAnsi"/>
          <w:b/>
          <w:bCs/>
          <w:u w:val="single"/>
        </w:rPr>
      </w:pPr>
    </w:p>
    <w:p w:rsidR="00D34C7D" w:rsidRPr="001A1DFF" w:rsidRDefault="00D34C7D" w:rsidP="006F3C28">
      <w:pPr>
        <w:tabs>
          <w:tab w:val="left" w:leader="underscore" w:pos="6840"/>
        </w:tabs>
        <w:spacing w:after="0"/>
        <w:rPr>
          <w:rFonts w:cstheme="minorHAnsi"/>
          <w:b/>
          <w:bCs/>
          <w:u w:val="single"/>
        </w:rPr>
      </w:pPr>
    </w:p>
    <w:p w:rsidR="006F3C28" w:rsidRPr="001A1DFF" w:rsidRDefault="006F3C28" w:rsidP="006F3C28">
      <w:pPr>
        <w:widowControl w:val="0"/>
        <w:numPr>
          <w:ilvl w:val="1"/>
          <w:numId w:val="3"/>
        </w:numPr>
        <w:autoSpaceDE w:val="0"/>
        <w:autoSpaceDN w:val="0"/>
        <w:adjustRightInd w:val="0"/>
        <w:spacing w:after="0"/>
        <w:ind w:left="284" w:hanging="284"/>
        <w:jc w:val="both"/>
        <w:rPr>
          <w:rFonts w:cstheme="minorHAnsi"/>
          <w:b/>
          <w:u w:val="single"/>
        </w:rPr>
      </w:pPr>
      <w:r w:rsidRPr="001A1DFF">
        <w:rPr>
          <w:rFonts w:cstheme="minorHAnsi"/>
          <w:b/>
          <w:u w:val="single"/>
        </w:rPr>
        <w:t>Pregled prijav z vidika pogojev za upravičenost</w:t>
      </w: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ob podpori vodilnega partnerja v roku največ petih (5) dni od poteka roka za prijavo na javni poziv odpre prispele prijave in jih preveri z vidika izpolnjevanja pogojev upravičenosti.</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 pregledu vlog z vidika izpolnjevanja pogojev upravičenosti Ocenjevalna komisija pripravi poročilo za vodilnega partnerja LAS v katerem navede:</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izpolnjujejo vse pogoje za upravičenost,</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 xml:space="preserve">seznam prijav, ki ne izpolnjujejo pogoja za upravičenost z navedbo, kako je posamezno prijavo mogoče dopolniti in v kakšnem roku, ki ne sme biti krajši od treh (3) dni in ne daljši od deset (10) dni, </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ne izpolnjujejo pogoja za upravičenost z obrazložitvijo na kakšen način posamezna prijava ne izpolnjuje splošnega merila pogoja za upravičenost.</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Vodilni partner LAS najkasneje v treh (3) dneh od prejetja poročila Ocenjevalne komisije pozove prijavitelja, ki je oddal prijavo in ki ne izpolnjujejo pogoja za upravičenost iz druge ali tretje alineje pogojev upravičenosti iz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določenem roku.</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v roku največ petih (5) dni od poteka zadnjega roka za dopolnitev prijave pregleda prejete dopolnitve in o tem pripravi poročilo. V poročilu navede seznam prijav, ki so bile ustrezno dopolnjene in izpolnjujejo vsa pogoje za upravičenost in seznam prijav, ki niso bile ustrezno dopolnjene z obrazložitvijo katerega pogoja ne izpolnjujejo.</w:t>
      </w: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Poročila podpišejo vsi člani Ocenjevalne komisije, ki so bili prisotni na seji, kjer se je ocenjevalo prijave. </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Vodilni partner na podlagi poročil Ocenjevalne komisije obvesti prijavitelja, ki ni ustrezno dopolnil prijave, in prijavitelja, ki je oddal prijavo, ki ne izpolnjuje pogoja za upravičenost, da je njegova prijava zavržena in s tem izločena iz nadaljnjega postopka. Obvestilo se posreduje po pošti na način, ki izkazuje,  kdaj ga je prijavitelj prejel. </w:t>
      </w:r>
    </w:p>
    <w:p w:rsidR="00C93632" w:rsidRPr="001A1DFF" w:rsidRDefault="00C93632" w:rsidP="00C93632">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Pregled prijav z vidika specifičnih meril</w:t>
      </w:r>
    </w:p>
    <w:p w:rsidR="00BB3A76" w:rsidRPr="001A1DFF" w:rsidRDefault="00BB3A76" w:rsidP="00C93632">
      <w:pPr>
        <w:spacing w:after="0"/>
        <w:jc w:val="both"/>
        <w:rPr>
          <w:rFonts w:eastAsia="Times New Roman" w:cstheme="minorHAnsi"/>
          <w:lang w:eastAsia="sl-SI"/>
        </w:rPr>
      </w:pPr>
      <w:bookmarkStart w:id="3" w:name="_Ref437730671"/>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Ocenjevalna komisija vse prijave, ki izpolnjujejo splošne pogoje, oceni z vidika specifičnih meril in o pregledu pripravi poročilo za vodilnega partnerja v katerem navede za vsako prijavo:</w:t>
      </w:r>
      <w:bookmarkEnd w:id="3"/>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število doseženih točk pri vsakem posameznem specifičnem merilu, ki je lahko samo celo število,</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skupno število točk po vseh specifičnih merilih in</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 xml:space="preserve">obrazložitev števila točk kjer je to potrebno in smiselno </w:t>
      </w:r>
    </w:p>
    <w:p w:rsidR="00C93632" w:rsidRPr="001A1DFF" w:rsidRDefault="00C93632" w:rsidP="00C93632">
      <w:pPr>
        <w:spacing w:after="0"/>
        <w:jc w:val="both"/>
        <w:rPr>
          <w:rFonts w:eastAsia="Times New Roman" w:cstheme="minorHAnsi"/>
          <w:lang w:eastAsia="sl-SI"/>
        </w:rPr>
      </w:pPr>
    </w:p>
    <w:p w:rsidR="00BB3A76"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lahko v primeru nejasnosti v vlogi pozove prijavitelja, da v danem roku, ki ne sme biti krajši od treh (3) dni in daljši od sedem (7) dni, predloži dodatna pojasnila ali dokazila v zvezi s predlagano operacijo. Če prijavitelj pojasnil in (ali) dokazil ne posreduje, Ocenjevalna komisija presodi vlogo glede na  podatke, s katerimi razpolaga.</w:t>
      </w:r>
    </w:p>
    <w:p w:rsidR="00BB3A76" w:rsidRPr="001A1DFF" w:rsidRDefault="00BB3A76" w:rsidP="00BB3A76">
      <w:pPr>
        <w:tabs>
          <w:tab w:val="left" w:leader="underscore" w:pos="6840"/>
        </w:tabs>
        <w:spacing w:after="0"/>
        <w:jc w:val="both"/>
        <w:rPr>
          <w:rFonts w:eastAsia="Times New Roman" w:cstheme="minorHAnsi"/>
          <w:lang w:eastAsia="sl-SI"/>
        </w:rPr>
      </w:pPr>
    </w:p>
    <w:p w:rsidR="00C93632"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posreduje dokončno poročilo vodilnemu partnerju najkasneje v 30 dneh od poteka roka za prijavo na javni poziv.</w:t>
      </w:r>
    </w:p>
    <w:p w:rsidR="00BB3A76" w:rsidRPr="001A1DFF" w:rsidRDefault="00BB3A76" w:rsidP="00BB3A76">
      <w:pPr>
        <w:tabs>
          <w:tab w:val="left" w:leader="underscore" w:pos="6840"/>
        </w:tabs>
        <w:spacing w:after="0"/>
        <w:jc w:val="both"/>
        <w:rPr>
          <w:rFonts w:eastAsia="Times New Roman" w:cstheme="minorHAnsi"/>
          <w:bCs/>
          <w:lang w:eastAsia="sl-SI"/>
        </w:rPr>
      </w:pPr>
    </w:p>
    <w:p w:rsidR="00BB3A76" w:rsidRPr="001A1DFF" w:rsidRDefault="00BB3A76" w:rsidP="00BB3A76">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ODLOČANJE O SOFINANCIRANJU OPERACIJ</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Odločanje o sofinanciranju operacij je v pristojnosti organa upravljanja LAS, ki je Upravni odbor LAS Sožitje med mestom in podeželjem (v nadaljevanju UO LAS).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Upravni odbor LAS Sožitje med mestom in podeželjem (UO LAS) na podlagi poročila Ocenjevalne komisije za vsako operacijo odloči, ali se bo sofinancirala, pri čemer mora za veljavnost takšne odločitve glasovati najmanj polovica članov Upravnega odbora, ki niso predstavniki javnega sektorja.</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307818">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Upravni odbor izbere za sofinanciranje predloge operacij, ki so dosegli najvišje število skupnih točk po specifičnih merilih</w:t>
      </w:r>
      <w:r w:rsidR="00976835" w:rsidRPr="001A1DFF">
        <w:rPr>
          <w:rFonts w:eastAsia="Times New Roman" w:cstheme="minorHAnsi"/>
          <w:lang w:eastAsia="sl-SI"/>
        </w:rPr>
        <w:t xml:space="preserve"> do porabe predvidenih sredstev.</w:t>
      </w:r>
      <w:r w:rsidRPr="001A1DFF">
        <w:rPr>
          <w:rFonts w:eastAsia="Times New Roman" w:cstheme="minorHAnsi"/>
          <w:lang w:eastAsia="sl-SI"/>
        </w:rPr>
        <w:t xml:space="preserve">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b/>
          <w:lang w:eastAsia="sl-SI"/>
        </w:rPr>
      </w:pPr>
      <w:r w:rsidRPr="001A1DFF">
        <w:rPr>
          <w:rFonts w:eastAsia="Times New Roman" w:cstheme="minorHAnsi"/>
          <w:b/>
          <w:lang w:eastAsia="sl-SI"/>
        </w:rPr>
        <w:t>Prijavitelj ne more biti izbran za sofinanciranje, če njegova prijava ne doseže skupaj vsaj 60</w:t>
      </w:r>
      <w:r w:rsidR="008E45F6" w:rsidRPr="001A1DFF">
        <w:rPr>
          <w:rFonts w:eastAsia="Times New Roman" w:cstheme="minorHAnsi"/>
          <w:b/>
          <w:lang w:eastAsia="sl-SI"/>
        </w:rPr>
        <w:t xml:space="preserve"> </w:t>
      </w:r>
      <w:r w:rsidRPr="001A1DFF">
        <w:rPr>
          <w:rFonts w:eastAsia="Times New Roman" w:cstheme="minorHAnsi"/>
          <w:b/>
          <w:lang w:eastAsia="sl-SI"/>
        </w:rPr>
        <w:t>% točk po specifičnih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skladnost operacije s SLR,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ekonomska in družbena upravičenost operacije in</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finančna preglednost in stroškovna učinkovitost.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80% upravičenih stroškov.</w:t>
      </w:r>
    </w:p>
    <w:p w:rsidR="00583E62" w:rsidRDefault="00583E62" w:rsidP="00583E62">
      <w:pPr>
        <w:widowControl w:val="0"/>
        <w:autoSpaceDE w:val="0"/>
        <w:autoSpaceDN w:val="0"/>
        <w:adjustRightInd w:val="0"/>
        <w:spacing w:after="0"/>
        <w:jc w:val="both"/>
        <w:rPr>
          <w:rFonts w:eastAsia="Times New Roman" w:cstheme="minorHAnsi"/>
          <w:lang w:eastAsia="sl-SI"/>
        </w:rPr>
      </w:pPr>
    </w:p>
    <w:p w:rsidR="00307818" w:rsidRPr="001A1DFF" w:rsidRDefault="00307818"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lastRenderedPageBreak/>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583E62" w:rsidRPr="001A1DFF" w:rsidRDefault="00583E62" w:rsidP="00583E62">
      <w:pPr>
        <w:widowControl w:val="0"/>
        <w:autoSpaceDE w:val="0"/>
        <w:autoSpaceDN w:val="0"/>
        <w:adjustRightInd w:val="0"/>
        <w:spacing w:after="0"/>
        <w:jc w:val="both"/>
        <w:rPr>
          <w:rFonts w:cstheme="minorHAn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Vodilni partner v imenu LAS, na podlagi poročila in odločitve UO LAS v 45 dneh od poteka roka za prijavo na javni poziv obvesti prijavitelje o odločitvi glede njihove prijave. Obvestilo se posreduje po pošti na način, ki izkazuje, kdaj ga je prijavitelj prejel.</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ne podpiše pogodbe o sofinanciranju, ali če sporoči, da predlagane operacije ne bo izvedel, se šteje, da njegova prijava ni bila vložena in se za sofinanciranje izbere naslednjega prijavitelja, glede na dosežen skupen znesek točk po specifičnih merilih.</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Ko je odločitev o izboru posamezne operacije za sofinanciran</w:t>
      </w:r>
      <w:r w:rsidR="004E583F" w:rsidRPr="001A1DFF">
        <w:rPr>
          <w:rFonts w:eastAsia="Times New Roman" w:cstheme="minorHAnsi"/>
          <w:lang w:eastAsia="sl-SI"/>
        </w:rPr>
        <w:t>je s strani UO</w:t>
      </w:r>
      <w:r w:rsidRPr="001A1DFF">
        <w:rPr>
          <w:rFonts w:eastAsia="Times New Roman" w:cstheme="minorHAnsi"/>
          <w:lang w:eastAsia="sl-SI"/>
        </w:rPr>
        <w:t xml:space="preserve"> LAS dokončna, vodilni partner pošlje predlog operacije v potrditev organu, pristojnemu za končno odobritev operacije (</w:t>
      </w:r>
      <w:r w:rsidR="001F3AD9" w:rsidRPr="001A1DFF">
        <w:rPr>
          <w:rFonts w:eastAsia="Times New Roman" w:cstheme="minorHAnsi"/>
          <w:lang w:eastAsia="sl-SI"/>
        </w:rPr>
        <w:t>MGRT</w:t>
      </w:r>
      <w:r w:rsidRPr="001A1DFF">
        <w:rPr>
          <w:rFonts w:eastAsia="Times New Roman" w:cstheme="minorHAnsi"/>
          <w:lang w:eastAsia="sl-SI"/>
        </w:rPr>
        <w:t xml:space="preserve">), ki o svoji odločitvi obvesti </w:t>
      </w:r>
      <w:r w:rsidR="004E583F" w:rsidRPr="001A1DFF">
        <w:rPr>
          <w:rFonts w:eastAsia="Times New Roman" w:cstheme="minorHAnsi"/>
          <w:lang w:eastAsia="sl-SI"/>
        </w:rPr>
        <w:t>LAS</w:t>
      </w:r>
      <w:r w:rsidRPr="001A1DFF">
        <w:rPr>
          <w:rFonts w:eastAsia="Times New Roman" w:cstheme="minorHAnsi"/>
          <w:lang w:eastAsia="sl-SI"/>
        </w:rPr>
        <w:t xml:space="preserve"> in z </w:t>
      </w:r>
      <w:r w:rsidR="004E583F" w:rsidRPr="001A1DFF">
        <w:rPr>
          <w:rFonts w:eastAsia="Times New Roman" w:cstheme="minorHAnsi"/>
          <w:lang w:eastAsia="sl-SI"/>
        </w:rPr>
        <w:t xml:space="preserve">prijaviteljem </w:t>
      </w:r>
      <w:r w:rsidRPr="001A1DFF">
        <w:rPr>
          <w:rFonts w:eastAsia="Times New Roman" w:cstheme="minorHAnsi"/>
          <w:lang w:eastAsia="sl-SI"/>
        </w:rPr>
        <w:t>sklene pogodbo o sofinanciranju.</w:t>
      </w: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Seznam operacij, izbranih za sofinanciranje se objav</w:t>
      </w:r>
      <w:r w:rsidR="00B76570" w:rsidRPr="001A1DFF">
        <w:rPr>
          <w:rFonts w:eastAsia="Times New Roman" w:cstheme="minorHAnsi"/>
          <w:lang w:eastAsia="sl-SI"/>
        </w:rPr>
        <w:t>ijo na spletni strani LAS</w:t>
      </w:r>
      <w:r w:rsidRPr="001A1DFF">
        <w:rPr>
          <w:rFonts w:eastAsia="Times New Roman" w:cstheme="minorHAnsi"/>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ROKI IN NAČIN PRIJAVE</w:t>
      </w:r>
    </w:p>
    <w:p w:rsidR="004E583F" w:rsidRPr="001A1DFF" w:rsidRDefault="004E583F" w:rsidP="00D07FA0">
      <w:pPr>
        <w:widowControl w:val="0"/>
        <w:overflowPunct w:val="0"/>
        <w:autoSpaceDE w:val="0"/>
        <w:autoSpaceDN w:val="0"/>
        <w:adjustRightInd w:val="0"/>
        <w:spacing w:after="0"/>
        <w:jc w:val="both"/>
        <w:rPr>
          <w:rFonts w:eastAsia="Times New Roman" w:cstheme="minorHAnsi"/>
          <w:lang w:eastAsia="sl-SI"/>
        </w:rPr>
      </w:pPr>
    </w:p>
    <w:p w:rsidR="004E583F" w:rsidRPr="001A1DFF" w:rsidRDefault="004E583F" w:rsidP="004E583F">
      <w:pPr>
        <w:widowControl w:val="0"/>
        <w:overflowPunct w:val="0"/>
        <w:autoSpaceDE w:val="0"/>
        <w:autoSpaceDN w:val="0"/>
        <w:adjustRightInd w:val="0"/>
        <w:spacing w:after="0"/>
        <w:ind w:left="7"/>
        <w:jc w:val="both"/>
        <w:rPr>
          <w:rFonts w:cstheme="minorHAnsi"/>
        </w:rPr>
      </w:pPr>
      <w:bookmarkStart w:id="4" w:name="page13"/>
      <w:bookmarkEnd w:id="4"/>
      <w:r w:rsidRPr="001A1DFF">
        <w:rPr>
          <w:rFonts w:cstheme="minorHAnsi"/>
        </w:rPr>
        <w:t xml:space="preserve">Vlogo na javni poziv je potrebno poslati </w:t>
      </w:r>
      <w:r w:rsidRPr="001A1DFF">
        <w:rPr>
          <w:rFonts w:cstheme="minorHAnsi"/>
          <w:u w:val="single"/>
        </w:rPr>
        <w:t>priporočeno po pošti</w:t>
      </w:r>
      <w:r w:rsidRPr="001A1DFF">
        <w:rPr>
          <w:rFonts w:cstheme="minorHAnsi"/>
        </w:rPr>
        <w:t xml:space="preserve">, na naslov: </w:t>
      </w:r>
    </w:p>
    <w:p w:rsidR="004E583F" w:rsidRPr="001A1DFF" w:rsidRDefault="004E583F" w:rsidP="0028107B">
      <w:pPr>
        <w:widowControl w:val="0"/>
        <w:overflowPunct w:val="0"/>
        <w:autoSpaceDE w:val="0"/>
        <w:autoSpaceDN w:val="0"/>
        <w:adjustRightInd w:val="0"/>
        <w:spacing w:after="0"/>
        <w:ind w:left="7"/>
        <w:jc w:val="both"/>
        <w:rPr>
          <w:rFonts w:cstheme="minorHAnsi"/>
          <w:u w:val="single"/>
        </w:rPr>
      </w:pPr>
      <w:r w:rsidRPr="001A1DFF">
        <w:rPr>
          <w:rFonts w:cstheme="minorHAnsi"/>
          <w:u w:val="single"/>
        </w:rPr>
        <w:t xml:space="preserve">LAS Sožitje med mestom in podeželjem, Šmartinska 134 a, 1000 Ljubljana, </w:t>
      </w:r>
      <w:r w:rsidRPr="001A1DFF">
        <w:rPr>
          <w:rFonts w:cstheme="minorHAnsi"/>
        </w:rPr>
        <w:t xml:space="preserve">pri čemer so opredeljeni naslednji presečni roki za sprejem vlog: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w:t>
      </w:r>
      <w:r w:rsidRPr="001A1DFF">
        <w:rPr>
          <w:rFonts w:cstheme="minorHAnsi"/>
        </w:rPr>
        <w:tab/>
        <w:t>Prvi rok za sprejem vlog  je od 1</w:t>
      </w:r>
      <w:r w:rsidR="00976835" w:rsidRPr="001A1DFF">
        <w:rPr>
          <w:rFonts w:cstheme="minorHAnsi"/>
        </w:rPr>
        <w:t>9</w:t>
      </w:r>
      <w:r w:rsidRPr="001A1DFF">
        <w:rPr>
          <w:rFonts w:cstheme="minorHAnsi"/>
        </w:rPr>
        <w:t>.12.2016 do 28.2.2017 do 24.00 ure.</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w:t>
      </w:r>
      <w:r w:rsidRPr="001A1DFF">
        <w:rPr>
          <w:rFonts w:cstheme="minorHAnsi"/>
        </w:rPr>
        <w:tab/>
        <w:t>Drugi rok za sprejem vlog  je od 1.3.2017 do 30.5.2017 do 24.00 ure.</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w:t>
      </w:r>
      <w:r w:rsidRPr="001A1DFF">
        <w:rPr>
          <w:rFonts w:cstheme="minorHAnsi"/>
        </w:rPr>
        <w:tab/>
        <w:t>Tretji rok za sprejem vlog je od 1.6.2017 do 30.9.2017 do 24.00 ure.</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Šteje se, da je vloga pravočasna, če je po pošti oddana priporočeno na pošti, do 24.00 ure opredeljenega posameznega roka.  V kolikor vloga prispe po opredeljenem roku, se bo le-ta obravnavala v naslednjem roku. </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Zadnji rok za sprejem operacij je opredeljen na 30.9.2017 in vse vloge, prispele po tem datumu se vrnejo prijaviteljem in se jih ne obravnava. </w:t>
      </w:r>
    </w:p>
    <w:p w:rsidR="004E583F" w:rsidRPr="001A1DFF" w:rsidRDefault="004E583F" w:rsidP="004E583F">
      <w:pPr>
        <w:widowControl w:val="0"/>
        <w:overflowPunct w:val="0"/>
        <w:autoSpaceDE w:val="0"/>
        <w:autoSpaceDN w:val="0"/>
        <w:adjustRightInd w:val="0"/>
        <w:spacing w:after="0"/>
        <w:ind w:left="7"/>
        <w:jc w:val="both"/>
        <w:rPr>
          <w:rFonts w:cstheme="minorHAnsi"/>
          <w:b/>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b/>
        </w:rPr>
        <w:t>Vloga se vlaga pisno in v elektronski obliki</w:t>
      </w:r>
      <w:r w:rsidRPr="001A1DFF">
        <w:rPr>
          <w:rFonts w:cstheme="minorHAnsi"/>
        </w:rPr>
        <w:t xml:space="preserve"> na </w:t>
      </w:r>
      <w:r w:rsidRPr="001A1DFF">
        <w:rPr>
          <w:rFonts w:cstheme="minorHAnsi"/>
          <w:b/>
        </w:rPr>
        <w:t>Prijavnem obrazcu ESRR</w:t>
      </w:r>
      <w:r w:rsidRPr="001A1DFF">
        <w:rPr>
          <w:rFonts w:cstheme="minorHAnsi"/>
        </w:rPr>
        <w:t xml:space="preserve">, ki je sestavni del razpisne dokumentacije in je dostopen na spletni strani </w:t>
      </w:r>
      <w:hyperlink r:id="rId15" w:history="1">
        <w:r w:rsidRPr="001A1DFF">
          <w:rPr>
            <w:rStyle w:val="Hiperpovezava"/>
            <w:rFonts w:cstheme="minorHAnsi"/>
            <w:color w:val="auto"/>
          </w:rPr>
          <w:t>http://www.las-smp.si</w:t>
        </w:r>
      </w:hyperlink>
      <w:r w:rsidRPr="001A1DFF">
        <w:rPr>
          <w:rFonts w:cstheme="minorHAnsi"/>
        </w:rPr>
        <w:t xml:space="preserve">. </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B76570" w:rsidRPr="001A1DFF" w:rsidRDefault="00B76570"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Elektronska različica vloge (oddana na CD-ju ali USB ključu) mora biti enaka vlogi v papirnati obliki.</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lastRenderedPageBreak/>
        <w:t>V kolikor vloga ni dopolnjena v predvidenem roku se pri ocenjevanju in odločanju o izboru operacije upošteva prejeta pisna vloga.</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Sestavni deli vloge morajo biti speti ali vloženi v mapo po vrstnem redu. Na ovojnici vloge mora biti razvidno:</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naziv in naslov vlagatelja,</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 xml:space="preserve">datum in čas oddaje vloge, ki ga označi pošta </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oznaka, ki se glasi: »</w:t>
      </w:r>
      <w:r w:rsidRPr="001A1DFF">
        <w:rPr>
          <w:rFonts w:cstheme="minorHAnsi"/>
          <w:b/>
          <w:bCs/>
        </w:rPr>
        <w:t>Ne odpiraj – vloga na 1. javni poziv ESRR.«</w:t>
      </w:r>
    </w:p>
    <w:p w:rsidR="004E583F" w:rsidRPr="001A1DFF" w:rsidRDefault="004E583F" w:rsidP="004E583F">
      <w:pPr>
        <w:widowControl w:val="0"/>
        <w:autoSpaceDE w:val="0"/>
        <w:autoSpaceDN w:val="0"/>
        <w:adjustRightInd w:val="0"/>
        <w:spacing w:after="0"/>
        <w:ind w:left="7"/>
        <w:jc w:val="both"/>
        <w:rPr>
          <w:rFonts w:cstheme="minorHAnsi"/>
        </w:rPr>
      </w:pPr>
    </w:p>
    <w:p w:rsidR="004E583F" w:rsidRPr="001A1DFF" w:rsidRDefault="004E583F" w:rsidP="004E583F">
      <w:pPr>
        <w:widowControl w:val="0"/>
        <w:autoSpaceDE w:val="0"/>
        <w:autoSpaceDN w:val="0"/>
        <w:adjustRightInd w:val="0"/>
        <w:spacing w:after="0"/>
        <w:ind w:left="7"/>
        <w:jc w:val="both"/>
        <w:rPr>
          <w:rFonts w:cstheme="minorHAnsi"/>
        </w:rPr>
      </w:pPr>
      <w:r w:rsidRPr="001A1DFF">
        <w:rPr>
          <w:rFonts w:cstheme="minorHAnsi"/>
        </w:rPr>
        <w:t>Vloga mora biti napisana v slovenskem jeziku, finančni izračuni pa morajo biti v evrih (EUR).</w:t>
      </w:r>
    </w:p>
    <w:p w:rsidR="004E583F" w:rsidRPr="001A1DFF" w:rsidRDefault="004E583F" w:rsidP="004E583F">
      <w:pPr>
        <w:widowControl w:val="0"/>
        <w:overflowPunct w:val="0"/>
        <w:autoSpaceDE w:val="0"/>
        <w:autoSpaceDN w:val="0"/>
        <w:adjustRightInd w:val="0"/>
        <w:spacing w:after="0"/>
        <w:ind w:right="20"/>
        <w:jc w:val="both"/>
        <w:rPr>
          <w:rFonts w:cstheme="minorHAnsi"/>
        </w:rPr>
      </w:pPr>
      <w:r w:rsidRPr="001A1DFF">
        <w:rPr>
          <w:rFonts w:cstheme="minorHAnsi"/>
        </w:rPr>
        <w:t xml:space="preserve">Vloga mora biti v skladu z zahtevami tega javnega poziva izpolnjena, podpisana in žigosana, kjer je to zahtevano. </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5" w:name="_Ref433559381"/>
      <w:r w:rsidRPr="001A1DFF">
        <w:rPr>
          <w:rFonts w:eastAsia="Times New Roman" w:cstheme="minorHAnsi"/>
          <w:b/>
          <w:bCs/>
          <w:u w:val="single"/>
          <w:lang w:eastAsia="sl-SI"/>
        </w:rPr>
        <w:t>RAZPISNA DOKUMENTACIJA IN DODATNE INFORMACIJE</w:t>
      </w:r>
      <w:bookmarkEnd w:id="5"/>
    </w:p>
    <w:p w:rsidR="00C93632" w:rsidRPr="001A1DFF" w:rsidRDefault="00C93632" w:rsidP="00D07F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Razpisna dokumentacija vsebuje: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javni poziv, </w:t>
      </w:r>
    </w:p>
    <w:p w:rsidR="004E583F" w:rsidRPr="001A1DF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prijavni obrazec za prijavo operacije</w:t>
      </w:r>
      <w:r w:rsidR="00A90295" w:rsidRPr="001A1DFF">
        <w:rPr>
          <w:rFonts w:eastAsia="Times New Roman" w:cstheme="minorHAnsi"/>
          <w:lang w:eastAsia="sl-SI"/>
        </w:rPr>
        <w:t xml:space="preserve"> s stroškovnikom</w:t>
      </w:r>
      <w:r w:rsidRPr="001A1DFF">
        <w:rPr>
          <w:rFonts w:eastAsia="Times New Roman" w:cstheme="minorHAnsi"/>
          <w:lang w:eastAsia="sl-SI"/>
        </w:rPr>
        <w:t>,</w:t>
      </w:r>
    </w:p>
    <w:p w:rsidR="004E583F" w:rsidRPr="001A1DFF" w:rsidRDefault="00C93632"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navodila za pripravo vloge, </w:t>
      </w:r>
    </w:p>
    <w:p w:rsidR="004E583F" w:rsidRPr="001A1DF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Navodila organa upravljanja o upravičenih stroških za sredstva evropske kohezijske politike  programskem obdobju 2014-2020,</w:t>
      </w:r>
    </w:p>
    <w:p w:rsidR="00C93632" w:rsidRPr="001A1DFF" w:rsidRDefault="00C93632"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vzorec pogodbe o sodelovanju med </w:t>
      </w:r>
      <w:r w:rsidR="004E583F" w:rsidRPr="001A1DFF">
        <w:rPr>
          <w:rFonts w:eastAsia="Times New Roman" w:cstheme="minorHAnsi"/>
          <w:lang w:eastAsia="sl-SI"/>
        </w:rPr>
        <w:t>prijaviteljem</w:t>
      </w:r>
      <w:r w:rsidRPr="001A1DFF">
        <w:rPr>
          <w:rFonts w:eastAsia="Times New Roman" w:cstheme="minorHAnsi"/>
          <w:lang w:eastAsia="sl-SI"/>
        </w:rPr>
        <w:t xml:space="preserve"> (n</w:t>
      </w:r>
      <w:r w:rsidR="004E583F" w:rsidRPr="001A1DFF">
        <w:rPr>
          <w:rFonts w:eastAsia="Times New Roman" w:cstheme="minorHAnsi"/>
          <w:lang w:eastAsia="sl-SI"/>
        </w:rPr>
        <w:t>osilcem operacije) in partnerji</w:t>
      </w:r>
      <w:r w:rsidRPr="001A1DFF">
        <w:rPr>
          <w:rFonts w:eastAsia="Times New Roman" w:cstheme="minorHAnsi"/>
          <w:lang w:eastAsia="sl-SI"/>
        </w:rPr>
        <w:t xml:space="preserve">, </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opremo ovojnice. </w:t>
      </w: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Vloga za prijavo operacije vsebuje:</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osnovne podatke o upravičencu in partnerjih (če ti so),</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naziv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opis operacije in načrtovane aktivnosti,</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območje (lokacija) izvajanja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cilje, ki jih zasleduje operacija,</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dinamiko izvajanja in črpanja finančnih sredstev načrtovane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finančni načrt oziroma zaprta finančna konstrukcija,</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Splošno izjavo vlagatelja in partnerjev (če ti so),</w:t>
      </w:r>
    </w:p>
    <w:p w:rsidR="00AB60FC"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Posebno izjavo vlagatelja in partnerjev (če ti so), da za operacijo niso prejeli drugih javnih sredstev,</w:t>
      </w:r>
    </w:p>
    <w:p w:rsidR="00AB60FC" w:rsidRPr="001A1DFF" w:rsidRDefault="00AB60FC" w:rsidP="00AB60FC">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Izjavo vlagatelja in partnerjev (če ti so) o poslovanju</w:t>
      </w:r>
    </w:p>
    <w:p w:rsidR="00AB60FC" w:rsidRPr="001A1DFF" w:rsidRDefault="00AB60FC" w:rsidP="0028107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cstheme="minorHAnsi"/>
        </w:rPr>
        <w:t xml:space="preserve">Posebno izjavo vlagatelja in partnerjev (če ti so) glede enotnega podjetja in </w:t>
      </w:r>
      <w:proofErr w:type="spellStart"/>
      <w:r w:rsidRPr="001A1DFF">
        <w:rPr>
          <w:rFonts w:cstheme="minorHAnsi"/>
        </w:rPr>
        <w:t>kumulaciji</w:t>
      </w:r>
      <w:proofErr w:type="spellEnd"/>
      <w:r w:rsidRPr="001A1DFF">
        <w:rPr>
          <w:rFonts w:cstheme="minorHAnsi"/>
        </w:rPr>
        <w:t xml:space="preserve"> pomoči ''de </w:t>
      </w:r>
      <w:proofErr w:type="spellStart"/>
      <w:r w:rsidRPr="001A1DFF">
        <w:rPr>
          <w:rFonts w:cstheme="minorHAnsi"/>
        </w:rPr>
        <w:t>minimis</w:t>
      </w:r>
      <w:proofErr w:type="spellEnd"/>
      <w:r w:rsidRPr="001A1DFF">
        <w:rPr>
          <w:rFonts w:cstheme="minorHAnsi"/>
        </w:rPr>
        <w:t>''</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obvezne priloge, ki izhajajo iz predpisov Evropske unije ali nacionalne zakonodaje glede na tip operacije (npr. dovoljenja, soglasja).</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 xml:space="preserve">Razpisna dokumentacija je dosegljiva na spletni strani </w:t>
      </w:r>
      <w:hyperlink r:id="rId16"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Dodatne informacije o javnem pozivu LAS daje vodilni partner LAS, in sicer:</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 xml:space="preserve">po elektronski pošti: </w:t>
      </w:r>
      <w:hyperlink r:id="rId17" w:history="1">
        <w:r w:rsidRPr="001A1DFF">
          <w:rPr>
            <w:rFonts w:eastAsia="Times New Roman" w:cstheme="minorHAnsi"/>
            <w:u w:val="single"/>
            <w:lang w:eastAsia="sl-SI"/>
          </w:rPr>
          <w:t>info@las-smp.si</w:t>
        </w:r>
      </w:hyperlink>
      <w:r w:rsidRPr="001A1DFF">
        <w:rPr>
          <w:rFonts w:eastAsia="Times New Roman" w:cstheme="minorHAnsi"/>
          <w:lang w:eastAsia="sl-SI"/>
        </w:rPr>
        <w:t xml:space="preserve"> </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osebno po predhodnem dogovoru.</w:t>
      </w: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Kontaktna oseba je: </w:t>
      </w:r>
      <w:r w:rsidRPr="001A1DFF">
        <w:rPr>
          <w:rFonts w:cstheme="minorHAnsi"/>
          <w:szCs w:val="24"/>
          <w:u w:val="single"/>
        </w:rPr>
        <w:t>Josip Pintar; tel: 01 544 5446; mobilni telefon: 031 515 875.</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28107B" w:rsidRPr="001A1DFF" w:rsidRDefault="0028107B" w:rsidP="0028107B">
      <w:pPr>
        <w:widowControl w:val="0"/>
        <w:autoSpaceDE w:val="0"/>
        <w:autoSpaceDN w:val="0"/>
        <w:adjustRightInd w:val="0"/>
        <w:spacing w:after="0"/>
        <w:jc w:val="both"/>
        <w:rPr>
          <w:rFonts w:cstheme="minorHAnsi"/>
          <w:szCs w:val="24"/>
        </w:rPr>
      </w:pPr>
      <w:r w:rsidRPr="001A1DFF">
        <w:rPr>
          <w:rFonts w:cstheme="minorHAnsi"/>
          <w:szCs w:val="24"/>
        </w:rPr>
        <w:t>Za boljše razumevanje tega Javnega poziva ter za lažjo in kvalitetnejšo prijavo so pripravljena Navodila vlagateljem</w:t>
      </w:r>
      <w:r w:rsidRPr="001A1DFF">
        <w:rPr>
          <w:rFonts w:cstheme="minorHAnsi"/>
          <w:b/>
          <w:szCs w:val="24"/>
        </w:rPr>
        <w:t>,</w:t>
      </w:r>
      <w:r w:rsidRPr="001A1DFF">
        <w:rPr>
          <w:rFonts w:cstheme="minorHAnsi"/>
          <w:szCs w:val="24"/>
        </w:rPr>
        <w:t xml:space="preserve"> ki so sestavni del razpisne dokumentacije in so objavljena na spletni strani </w:t>
      </w:r>
      <w:hyperlink r:id="rId18" w:history="1">
        <w:r w:rsidRPr="001A1DFF">
          <w:rPr>
            <w:rStyle w:val="Hiperpovezava"/>
            <w:rFonts w:cstheme="minorHAnsi"/>
            <w:color w:val="auto"/>
            <w:szCs w:val="24"/>
          </w:rPr>
          <w:t>www.las-smp.si</w:t>
        </w:r>
      </w:hyperlink>
      <w:r w:rsidRPr="001A1DFF">
        <w:rPr>
          <w:rFonts w:cstheme="minorHAnsi"/>
          <w:szCs w:val="24"/>
        </w:rPr>
        <w:t xml:space="preserve">. V kolikor imate dodatna vprašanja jih pošljite na e-naslov: </w:t>
      </w:r>
      <w:hyperlink r:id="rId19" w:history="1">
        <w:r w:rsidRPr="001A1DFF">
          <w:rPr>
            <w:rStyle w:val="Hiperpovezava"/>
            <w:rFonts w:cstheme="minorHAnsi"/>
            <w:color w:val="auto"/>
            <w:szCs w:val="24"/>
          </w:rPr>
          <w:t>info@las-smp.si</w:t>
        </w:r>
      </w:hyperlink>
      <w:r w:rsidRPr="001A1DFF">
        <w:rPr>
          <w:rFonts w:cstheme="minorHAnsi"/>
          <w:szCs w:val="24"/>
        </w:rPr>
        <w:t xml:space="preserve"> ali </w:t>
      </w:r>
      <w:hyperlink r:id="rId20" w:history="1">
        <w:r w:rsidRPr="001A1DFF">
          <w:rPr>
            <w:rStyle w:val="Hiperpovezava"/>
            <w:rFonts w:cstheme="minorHAnsi"/>
            <w:color w:val="auto"/>
            <w:szCs w:val="24"/>
          </w:rPr>
          <w:t>josip.pintar@ciza.si</w:t>
        </w:r>
      </w:hyperlink>
      <w:r w:rsidRPr="001A1DFF">
        <w:rPr>
          <w:rFonts w:cstheme="minorHAnsi"/>
          <w:szCs w:val="24"/>
        </w:rPr>
        <w:t>.</w:t>
      </w:r>
    </w:p>
    <w:p w:rsidR="0028107B" w:rsidRPr="001A1DFF" w:rsidRDefault="0028107B" w:rsidP="0028107B">
      <w:pPr>
        <w:widowControl w:val="0"/>
        <w:autoSpaceDE w:val="0"/>
        <w:autoSpaceDN w:val="0"/>
        <w:adjustRightInd w:val="0"/>
        <w:spacing w:after="0"/>
        <w:jc w:val="both"/>
        <w:rPr>
          <w:rFonts w:cstheme="minorHAnsi"/>
          <w:szCs w:val="24"/>
        </w:rPr>
      </w:pP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Vsa vprašanja in dani odgovori bodo sprotno objavljeni na spletni strani </w:t>
      </w:r>
      <w:hyperlink r:id="rId21" w:history="1">
        <w:r w:rsidRPr="001A1DFF">
          <w:rPr>
            <w:rStyle w:val="Hiperpovezava"/>
            <w:rFonts w:cstheme="minorHAnsi"/>
            <w:color w:val="auto"/>
            <w:szCs w:val="24"/>
          </w:rPr>
          <w:t>www.las-smp.si</w:t>
        </w:r>
      </w:hyperlink>
      <w:r w:rsidRPr="001A1DFF">
        <w:rPr>
          <w:rFonts w:cstheme="minorHAnsi"/>
          <w:szCs w:val="24"/>
        </w:rPr>
        <w:t>. Zadnja vprašanja bodo možna do treh (3) dni pred zaprtjem javnega poziva.</w:t>
      </w: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p>
    <w:p w:rsidR="0028107B" w:rsidRPr="001A1DFF" w:rsidRDefault="0028107B"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PRAVICE LAS</w:t>
      </w:r>
    </w:p>
    <w:p w:rsidR="00D07FA0" w:rsidRPr="001A1DFF" w:rsidRDefault="00D07FA0" w:rsidP="00D07FA0">
      <w:pPr>
        <w:widowControl w:val="0"/>
        <w:autoSpaceDE w:val="0"/>
        <w:autoSpaceDN w:val="0"/>
        <w:adjustRightInd w:val="0"/>
        <w:spacing w:after="0"/>
        <w:jc w:val="both"/>
        <w:rPr>
          <w:rFonts w:cstheme="minorHAnsi"/>
        </w:rPr>
      </w:pPr>
      <w:r w:rsidRPr="001A1DFF">
        <w:rPr>
          <w:rFonts w:cstheme="minorHAnsi"/>
        </w:rPr>
        <w:t>LAS si pridržuje pravico, da:</w:t>
      </w:r>
    </w:p>
    <w:p w:rsidR="00D07FA0" w:rsidRPr="001A1DFF" w:rsidRDefault="00D07FA0" w:rsidP="00D07FA0">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ne razdeli kvote vseh razpisanih sredstev iz</w:t>
      </w:r>
      <w:r w:rsidR="0028107B" w:rsidRPr="001A1DFF">
        <w:rPr>
          <w:rFonts w:cstheme="minorHAnsi"/>
        </w:rPr>
        <w:t xml:space="preserve"> 1.</w:t>
      </w:r>
      <w:r w:rsidRPr="001A1DFF">
        <w:rPr>
          <w:rFonts w:cstheme="minorHAnsi"/>
        </w:rPr>
        <w:t xml:space="preserve"> javnega poziva za leto 2016</w:t>
      </w:r>
      <w:r w:rsidR="0028107B" w:rsidRPr="001A1DFF">
        <w:rPr>
          <w:rFonts w:cstheme="minorHAnsi"/>
        </w:rPr>
        <w:t>/2017</w:t>
      </w:r>
      <w:r w:rsidRPr="001A1DFF">
        <w:rPr>
          <w:rFonts w:cstheme="minorHAnsi"/>
        </w:rPr>
        <w:t xml:space="preserve">, </w:t>
      </w:r>
    </w:p>
    <w:p w:rsidR="0028107B" w:rsidRPr="001A1DFF" w:rsidRDefault="00D07FA0" w:rsidP="0028107B">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v kolikor podatki o vlagateljih in partnerjih niso dosegljivi v javnih evidencah, od prijaviteljev/partnerjev zahteva dodatna dokazila kot so: dok</w:t>
      </w:r>
      <w:r w:rsidR="00FA6926" w:rsidRPr="001A1DFF">
        <w:rPr>
          <w:rFonts w:cstheme="minorHAnsi"/>
        </w:rPr>
        <w:t>azila o registraciji, statut ….</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DRUGE DOLOČBE</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Fonts w:cstheme="minorHAnsi"/>
        </w:rPr>
        <w:t xml:space="preserve">Rezultati tega javnega poziva predstavljajo informacije javnega značaja ter bodo po prejemu odločb o sofinanciranju odobrenih projektov objavljeni na spletni strani </w:t>
      </w:r>
      <w:hyperlink r:id="rId22" w:history="1">
        <w:r w:rsidRPr="001A1DFF">
          <w:rPr>
            <w:rStyle w:val="Hiperpovezava"/>
            <w:rFonts w:cstheme="minorHAnsi"/>
            <w:color w:val="auto"/>
          </w:rPr>
          <w:t>www.las-smp.si</w:t>
        </w:r>
      </w:hyperlink>
      <w:r w:rsidRPr="001A1DFF">
        <w:rPr>
          <w:rStyle w:val="Hiperpovezava"/>
          <w:rFonts w:cstheme="minorHAnsi"/>
          <w:color w:val="auto"/>
        </w:rPr>
        <w:t xml:space="preserve">. </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b/>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35489C" w:rsidRDefault="00ED643D" w:rsidP="0028107B">
      <w:pPr>
        <w:widowControl w:val="0"/>
        <w:overflowPunct w:val="0"/>
        <w:autoSpaceDE w:val="0"/>
        <w:autoSpaceDN w:val="0"/>
        <w:adjustRightInd w:val="0"/>
        <w:spacing w:after="0"/>
        <w:jc w:val="both"/>
        <w:rPr>
          <w:rStyle w:val="Hiperpovezava"/>
          <w:rFonts w:cstheme="minorHAnsi"/>
          <w:color w:val="FF0000"/>
        </w:rPr>
      </w:pPr>
      <w:r w:rsidRPr="0035489C">
        <w:rPr>
          <w:rStyle w:val="Hiperpovezava"/>
          <w:rFonts w:cstheme="minorHAnsi"/>
          <w:color w:val="FF0000"/>
        </w:rPr>
        <w:t>Ljubljana, 3</w:t>
      </w:r>
      <w:r w:rsidR="00A90295" w:rsidRPr="0035489C">
        <w:rPr>
          <w:rStyle w:val="Hiperpovezava"/>
          <w:rFonts w:cstheme="minorHAnsi"/>
          <w:color w:val="FF0000"/>
        </w:rPr>
        <w:t>0</w:t>
      </w:r>
      <w:r w:rsidRPr="0035489C">
        <w:rPr>
          <w:rStyle w:val="Hiperpovezava"/>
          <w:rFonts w:cstheme="minorHAnsi"/>
          <w:color w:val="FF0000"/>
        </w:rPr>
        <w:t>.8.2017</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bookmarkStart w:id="6" w:name="_GoBack"/>
      <w:bookmarkEnd w:id="6"/>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Marjana Marn, predsednica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Vodilni partner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CIZA, Zavod za razvoj podeželja</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Josip Pintar</w:t>
      </w:r>
    </w:p>
    <w:sectPr w:rsidR="0028107B" w:rsidRPr="001A1DFF" w:rsidSect="00DA5415">
      <w:headerReference w:type="default" r:id="rId23"/>
      <w:footerReference w:type="default" r:id="rId24"/>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43" w:rsidRDefault="00221443" w:rsidP="00C93632">
      <w:pPr>
        <w:spacing w:after="0" w:line="240" w:lineRule="auto"/>
      </w:pPr>
      <w:r>
        <w:separator/>
      </w:r>
    </w:p>
  </w:endnote>
  <w:endnote w:type="continuationSeparator" w:id="0">
    <w:p w:rsidR="00221443" w:rsidRDefault="00221443" w:rsidP="00C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50506"/>
      <w:docPartObj>
        <w:docPartGallery w:val="Page Numbers (Bottom of Page)"/>
        <w:docPartUnique/>
      </w:docPartObj>
    </w:sdtPr>
    <w:sdtContent>
      <w:p w:rsidR="0035489C" w:rsidRDefault="0035489C" w:rsidP="008E45F6">
        <w:pPr>
          <w:pStyle w:val="Noga"/>
          <w:pBdr>
            <w:top w:val="single" w:sz="4" w:space="1" w:color="auto"/>
          </w:pBdr>
        </w:pPr>
        <w:r>
          <w:rPr>
            <w:sz w:val="20"/>
          </w:rPr>
          <w:t xml:space="preserve">1. </w:t>
        </w:r>
        <w:r>
          <w:rPr>
            <w:sz w:val="20"/>
          </w:rPr>
          <w:t>javni poziv LAS SMP za izbor operacij iz ESRR – SPREMEMBA 30.8.2017</w:t>
        </w:r>
      </w:p>
      <w:p w:rsidR="0035489C" w:rsidRPr="008E45F6" w:rsidRDefault="0035489C" w:rsidP="008E45F6">
        <w:pPr>
          <w:pStyle w:val="Noga"/>
          <w:pBdr>
            <w:top w:val="single" w:sz="4" w:space="1" w:color="auto"/>
          </w:pBdr>
          <w:jc w:val="right"/>
          <w:rPr>
            <w:b/>
            <w:bCs/>
            <w:szCs w:val="24"/>
          </w:rPr>
        </w:pPr>
        <w:r w:rsidRPr="008E45F6">
          <w:rPr>
            <w:sz w:val="20"/>
          </w:rPr>
          <w:t xml:space="preserve"> Stran </w:t>
        </w:r>
        <w:r w:rsidRPr="008E45F6">
          <w:rPr>
            <w:b/>
            <w:bCs/>
            <w:szCs w:val="24"/>
          </w:rPr>
          <w:fldChar w:fldCharType="begin"/>
        </w:r>
        <w:r w:rsidRPr="008E45F6">
          <w:rPr>
            <w:b/>
            <w:bCs/>
            <w:sz w:val="20"/>
          </w:rPr>
          <w:instrText>PAGE</w:instrText>
        </w:r>
        <w:r w:rsidRPr="008E45F6">
          <w:rPr>
            <w:b/>
            <w:bCs/>
            <w:szCs w:val="24"/>
          </w:rPr>
          <w:fldChar w:fldCharType="separate"/>
        </w:r>
        <w:r w:rsidR="00661482">
          <w:rPr>
            <w:b/>
            <w:bCs/>
            <w:noProof/>
            <w:sz w:val="20"/>
          </w:rPr>
          <w:t>14</w:t>
        </w:r>
        <w:r w:rsidRPr="008E45F6">
          <w:rPr>
            <w:b/>
            <w:bCs/>
            <w:szCs w:val="24"/>
          </w:rPr>
          <w:fldChar w:fldCharType="end"/>
        </w:r>
        <w:r w:rsidRPr="008E45F6">
          <w:rPr>
            <w:sz w:val="20"/>
          </w:rPr>
          <w:t xml:space="preserve"> od </w:t>
        </w:r>
        <w:r w:rsidRPr="008E45F6">
          <w:rPr>
            <w:b/>
            <w:bCs/>
            <w:szCs w:val="24"/>
          </w:rPr>
          <w:fldChar w:fldCharType="begin"/>
        </w:r>
        <w:r w:rsidRPr="008E45F6">
          <w:rPr>
            <w:b/>
            <w:bCs/>
            <w:sz w:val="20"/>
          </w:rPr>
          <w:instrText>NUMPAGES</w:instrText>
        </w:r>
        <w:r w:rsidRPr="008E45F6">
          <w:rPr>
            <w:b/>
            <w:bCs/>
            <w:szCs w:val="24"/>
          </w:rPr>
          <w:fldChar w:fldCharType="separate"/>
        </w:r>
        <w:r w:rsidR="00661482">
          <w:rPr>
            <w:b/>
            <w:bCs/>
            <w:noProof/>
            <w:sz w:val="20"/>
          </w:rPr>
          <w:t>15</w:t>
        </w:r>
        <w:r w:rsidRPr="008E45F6">
          <w:rPr>
            <w:b/>
            <w:bCs/>
            <w:szCs w:val="24"/>
          </w:rPr>
          <w:fldChar w:fldCharType="end"/>
        </w:r>
      </w:p>
    </w:sdtContent>
  </w:sdt>
  <w:p w:rsidR="0035489C" w:rsidRDefault="003548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43" w:rsidRDefault="00221443" w:rsidP="00C93632">
      <w:pPr>
        <w:spacing w:after="0" w:line="240" w:lineRule="auto"/>
      </w:pPr>
      <w:r>
        <w:separator/>
      </w:r>
    </w:p>
  </w:footnote>
  <w:footnote w:type="continuationSeparator" w:id="0">
    <w:p w:rsidR="00221443" w:rsidRDefault="00221443" w:rsidP="00C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9C" w:rsidRPr="00B31FD8" w:rsidRDefault="0035489C" w:rsidP="00B0207B">
    <w:pPr>
      <w:pStyle w:val="Glava"/>
      <w:pBdr>
        <w:bottom w:val="single" w:sz="4" w:space="1" w:color="auto"/>
      </w:pBdr>
      <w:jc w:val="center"/>
      <w:rPr>
        <w:sz w:val="18"/>
        <w:szCs w:val="18"/>
      </w:rPr>
    </w:pPr>
    <w:r>
      <w:rPr>
        <w:noProof/>
      </w:rPr>
      <w:drawing>
        <wp:inline distT="0" distB="0" distL="0" distR="0" wp14:anchorId="644256AD" wp14:editId="60040762">
          <wp:extent cx="1628775" cy="656909"/>
          <wp:effectExtent l="0" t="0" r="0" b="0"/>
          <wp:docPr id="2" name="Slika 2"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636916" cy="660192"/>
                  </a:xfrm>
                  <a:prstGeom prst="rect">
                    <a:avLst/>
                  </a:prstGeom>
                  <a:noFill/>
                  <a:ln>
                    <a:noFill/>
                  </a:ln>
                </pic:spPr>
              </pic:pic>
            </a:graphicData>
          </a:graphic>
        </wp:inline>
      </w:drawing>
    </w:r>
    <w:r>
      <w:rPr>
        <w:noProof/>
      </w:rPr>
      <w:drawing>
        <wp:inline distT="0" distB="0" distL="0" distR="0" wp14:anchorId="159C20F5" wp14:editId="21A90F21">
          <wp:extent cx="1495425" cy="587945"/>
          <wp:effectExtent l="0" t="0" r="0" b="3175"/>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82" t="18391" r="8787" b="18965"/>
                  <a:stretch/>
                </pic:blipFill>
                <pic:spPr bwMode="auto">
                  <a:xfrm>
                    <a:off x="0" y="0"/>
                    <a:ext cx="1495425" cy="587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4C66BAE"/>
    <w:multiLevelType w:val="hybridMultilevel"/>
    <w:tmpl w:val="9A5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6F55711C"/>
    <w:multiLevelType w:val="hybridMultilevel"/>
    <w:tmpl w:val="31A86502"/>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2"/>
    <w:rsid w:val="000554FF"/>
    <w:rsid w:val="000A5D26"/>
    <w:rsid w:val="000B2082"/>
    <w:rsid w:val="000D12AF"/>
    <w:rsid w:val="000E61E8"/>
    <w:rsid w:val="00120A4B"/>
    <w:rsid w:val="0012210F"/>
    <w:rsid w:val="001325ED"/>
    <w:rsid w:val="001801C3"/>
    <w:rsid w:val="00186A82"/>
    <w:rsid w:val="0018748F"/>
    <w:rsid w:val="001A1DFF"/>
    <w:rsid w:val="001A6576"/>
    <w:rsid w:val="001B76C6"/>
    <w:rsid w:val="001E7EE6"/>
    <w:rsid w:val="001F2788"/>
    <w:rsid w:val="001F3AD9"/>
    <w:rsid w:val="002020A0"/>
    <w:rsid w:val="00221443"/>
    <w:rsid w:val="002255E5"/>
    <w:rsid w:val="00231CA1"/>
    <w:rsid w:val="0023271E"/>
    <w:rsid w:val="00273E91"/>
    <w:rsid w:val="0028107B"/>
    <w:rsid w:val="00283E04"/>
    <w:rsid w:val="00294202"/>
    <w:rsid w:val="002B140B"/>
    <w:rsid w:val="002B64A0"/>
    <w:rsid w:val="002C7B40"/>
    <w:rsid w:val="00304798"/>
    <w:rsid w:val="00307818"/>
    <w:rsid w:val="0031688B"/>
    <w:rsid w:val="00343674"/>
    <w:rsid w:val="00352FDF"/>
    <w:rsid w:val="0035489C"/>
    <w:rsid w:val="00355BFF"/>
    <w:rsid w:val="00377437"/>
    <w:rsid w:val="00377DD3"/>
    <w:rsid w:val="0039777C"/>
    <w:rsid w:val="003B31C5"/>
    <w:rsid w:val="003B4877"/>
    <w:rsid w:val="00411603"/>
    <w:rsid w:val="00440196"/>
    <w:rsid w:val="004637EA"/>
    <w:rsid w:val="00476003"/>
    <w:rsid w:val="004B7FE1"/>
    <w:rsid w:val="004E583F"/>
    <w:rsid w:val="004E62FD"/>
    <w:rsid w:val="00500AFF"/>
    <w:rsid w:val="005402DD"/>
    <w:rsid w:val="00546639"/>
    <w:rsid w:val="00546CF3"/>
    <w:rsid w:val="00552FDE"/>
    <w:rsid w:val="00556EF6"/>
    <w:rsid w:val="00583E62"/>
    <w:rsid w:val="005A098B"/>
    <w:rsid w:val="005A1A8D"/>
    <w:rsid w:val="005B1850"/>
    <w:rsid w:val="005C5E63"/>
    <w:rsid w:val="005D02B1"/>
    <w:rsid w:val="005E2C66"/>
    <w:rsid w:val="00605F78"/>
    <w:rsid w:val="006355A1"/>
    <w:rsid w:val="00636C4F"/>
    <w:rsid w:val="00653E92"/>
    <w:rsid w:val="006579DA"/>
    <w:rsid w:val="00661482"/>
    <w:rsid w:val="0067720D"/>
    <w:rsid w:val="00680AAA"/>
    <w:rsid w:val="00683656"/>
    <w:rsid w:val="00691F6C"/>
    <w:rsid w:val="006B7453"/>
    <w:rsid w:val="006E7F00"/>
    <w:rsid w:val="006F3C28"/>
    <w:rsid w:val="007236DA"/>
    <w:rsid w:val="007560E5"/>
    <w:rsid w:val="00760844"/>
    <w:rsid w:val="00773BD1"/>
    <w:rsid w:val="007A68E4"/>
    <w:rsid w:val="007C0ED9"/>
    <w:rsid w:val="007E5BE2"/>
    <w:rsid w:val="00800A6A"/>
    <w:rsid w:val="00827152"/>
    <w:rsid w:val="008337E5"/>
    <w:rsid w:val="00846E32"/>
    <w:rsid w:val="00885EC2"/>
    <w:rsid w:val="008871C5"/>
    <w:rsid w:val="008954E0"/>
    <w:rsid w:val="008A09CA"/>
    <w:rsid w:val="008A6D2D"/>
    <w:rsid w:val="008C1C25"/>
    <w:rsid w:val="008E45F6"/>
    <w:rsid w:val="0090048D"/>
    <w:rsid w:val="00907CC2"/>
    <w:rsid w:val="0092753D"/>
    <w:rsid w:val="00976835"/>
    <w:rsid w:val="00992FEA"/>
    <w:rsid w:val="009F4422"/>
    <w:rsid w:val="00A14F39"/>
    <w:rsid w:val="00A2242B"/>
    <w:rsid w:val="00A42422"/>
    <w:rsid w:val="00A45CBE"/>
    <w:rsid w:val="00A610ED"/>
    <w:rsid w:val="00A62A38"/>
    <w:rsid w:val="00A90295"/>
    <w:rsid w:val="00A977F6"/>
    <w:rsid w:val="00AB60FC"/>
    <w:rsid w:val="00AD54A7"/>
    <w:rsid w:val="00B0207B"/>
    <w:rsid w:val="00B07F5C"/>
    <w:rsid w:val="00B5061B"/>
    <w:rsid w:val="00B66932"/>
    <w:rsid w:val="00B76570"/>
    <w:rsid w:val="00BA1B8C"/>
    <w:rsid w:val="00BB3A76"/>
    <w:rsid w:val="00BB6AA5"/>
    <w:rsid w:val="00BC2E74"/>
    <w:rsid w:val="00BC4C61"/>
    <w:rsid w:val="00BD4A21"/>
    <w:rsid w:val="00C0088E"/>
    <w:rsid w:val="00C06BCC"/>
    <w:rsid w:val="00C105AB"/>
    <w:rsid w:val="00C22BE3"/>
    <w:rsid w:val="00C341E0"/>
    <w:rsid w:val="00C52C92"/>
    <w:rsid w:val="00C93632"/>
    <w:rsid w:val="00CA0488"/>
    <w:rsid w:val="00CA7668"/>
    <w:rsid w:val="00CC5CA2"/>
    <w:rsid w:val="00CE43C3"/>
    <w:rsid w:val="00D07FA0"/>
    <w:rsid w:val="00D34C7D"/>
    <w:rsid w:val="00D77168"/>
    <w:rsid w:val="00D86F67"/>
    <w:rsid w:val="00DA5415"/>
    <w:rsid w:val="00DD4A27"/>
    <w:rsid w:val="00ED643D"/>
    <w:rsid w:val="00EF7630"/>
    <w:rsid w:val="00F01D29"/>
    <w:rsid w:val="00F24F7F"/>
    <w:rsid w:val="00F40F6A"/>
    <w:rsid w:val="00F639C8"/>
    <w:rsid w:val="00FA6926"/>
    <w:rsid w:val="00FB000A"/>
    <w:rsid w:val="00F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4216">
      <w:bodyDiv w:val="1"/>
      <w:marLeft w:val="0"/>
      <w:marRight w:val="0"/>
      <w:marTop w:val="0"/>
      <w:marBottom w:val="0"/>
      <w:divBdr>
        <w:top w:val="none" w:sz="0" w:space="0" w:color="auto"/>
        <w:left w:val="none" w:sz="0" w:space="0" w:color="auto"/>
        <w:bottom w:val="none" w:sz="0" w:space="0" w:color="auto"/>
        <w:right w:val="none" w:sz="0" w:space="0" w:color="auto"/>
      </w:divBdr>
    </w:div>
    <w:div w:id="1608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file:///C:\Users\Josip\Desktop\javni%20poziv%20ESRR\www.las-smp.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s-smp.si" TargetMode="Externa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mailto:info@las-smp.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yperlink" Target="mailto:josip.pintar@ciz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mp.s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as-smp.si" TargetMode="External"/><Relationship Id="rId23" Type="http://schemas.openxmlformats.org/officeDocument/2006/relationships/header" Target="header1.xml"/><Relationship Id="rId10" Type="http://schemas.openxmlformats.org/officeDocument/2006/relationships/hyperlink" Target="http://www.las-smp.si" TargetMode="External"/><Relationship Id="rId19" Type="http://schemas.openxmlformats.org/officeDocument/2006/relationships/hyperlink" Target="mailto:info@las-smp.si" TargetMode="External"/><Relationship Id="rId4" Type="http://schemas.microsoft.com/office/2007/relationships/stylesWithEffects" Target="stylesWithEffects.xml"/><Relationship Id="rId9" Type="http://schemas.openxmlformats.org/officeDocument/2006/relationships/hyperlink" Target="mailto:info@las-smp.si" TargetMode="External"/><Relationship Id="rId14" Type="http://schemas.openxmlformats.org/officeDocument/2006/relationships/hyperlink" Target="http://www.eu-skladi.si/ekp/navodila" TargetMode="External"/><Relationship Id="rId22" Type="http://schemas.openxmlformats.org/officeDocument/2006/relationships/hyperlink" Target="http://www.las-smp.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46860B-E24C-439C-B2E9-3BC72345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5461</Words>
  <Characters>31131</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4</cp:revision>
  <cp:lastPrinted>2017-03-02T12:25:00Z</cp:lastPrinted>
  <dcterms:created xsi:type="dcterms:W3CDTF">2017-08-31T14:51:00Z</dcterms:created>
  <dcterms:modified xsi:type="dcterms:W3CDTF">2017-08-31T15:00:00Z</dcterms:modified>
</cp:coreProperties>
</file>