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4FF" w:rsidRPr="002E08BF" w:rsidRDefault="00DE14FF" w:rsidP="00DE14FF">
      <w:pPr>
        <w:rPr>
          <w:b/>
          <w:sz w:val="24"/>
          <w:szCs w:val="24"/>
          <w:u w:val="single"/>
        </w:rPr>
      </w:pPr>
      <w:r w:rsidRPr="002E08BF">
        <w:rPr>
          <w:b/>
          <w:noProof/>
          <w:sz w:val="24"/>
          <w:szCs w:val="24"/>
          <w:lang w:eastAsia="sl-SI"/>
        </w:rPr>
        <w:drawing>
          <wp:anchor distT="0" distB="0" distL="114300" distR="114300" simplePos="0" relativeHeight="251659264" behindDoc="1" locked="0" layoutInCell="1" allowOverlap="1" wp14:anchorId="44299A59" wp14:editId="0B13137D">
            <wp:simplePos x="0" y="0"/>
            <wp:positionH relativeFrom="column">
              <wp:posOffset>3992880</wp:posOffset>
            </wp:positionH>
            <wp:positionV relativeFrom="paragraph">
              <wp:posOffset>-381000</wp:posOffset>
            </wp:positionV>
            <wp:extent cx="1557655" cy="650240"/>
            <wp:effectExtent l="0" t="0" r="4445" b="0"/>
            <wp:wrapTight wrapText="bothSides">
              <wp:wrapPolygon edited="0">
                <wp:start x="0" y="0"/>
                <wp:lineTo x="0" y="20883"/>
                <wp:lineTo x="21397" y="20883"/>
                <wp:lineTo x="21397" y="0"/>
                <wp:lineTo x="0" y="0"/>
              </wp:wrapPolygon>
            </wp:wrapTight>
            <wp:docPr id="2" name="Slika 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l="15789" t="16837" r="8612" b="17795"/>
                    <a:stretch/>
                  </pic:blipFill>
                  <pic:spPr bwMode="auto">
                    <a:xfrm>
                      <a:off x="0" y="0"/>
                      <a:ext cx="1557655" cy="6502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E08BF">
        <w:rPr>
          <w:b/>
          <w:sz w:val="24"/>
          <w:szCs w:val="24"/>
        </w:rPr>
        <w:t xml:space="preserve">OPERACIJA/PROJEKT: </w:t>
      </w:r>
      <w:r w:rsidRPr="002E08BF">
        <w:rPr>
          <w:b/>
          <w:sz w:val="24"/>
          <w:szCs w:val="24"/>
          <w:u w:val="single"/>
        </w:rPr>
        <w:t xml:space="preserve">OSVETLITEV PEŠPOTI OB GROSUPELJŠČICI </w:t>
      </w:r>
    </w:p>
    <w:p w:rsidR="00DE14FF" w:rsidRPr="002E08BF" w:rsidRDefault="00DE14FF" w:rsidP="002E08BF">
      <w:pPr>
        <w:jc w:val="both"/>
        <w:rPr>
          <w:rFonts w:ascii="Times New Roman" w:hAnsi="Times New Roman" w:cs="Times New Roman"/>
          <w:sz w:val="24"/>
          <w:szCs w:val="24"/>
        </w:rPr>
      </w:pPr>
      <w:r w:rsidRPr="002E08BF">
        <w:rPr>
          <w:rFonts w:ascii="Times New Roman" w:hAnsi="Times New Roman" w:cs="Times New Roman"/>
          <w:sz w:val="24"/>
          <w:szCs w:val="24"/>
        </w:rPr>
        <w:t xml:space="preserve">Občina Grosuplje je s projektom Osvetlitev pešpoti ob </w:t>
      </w:r>
      <w:proofErr w:type="spellStart"/>
      <w:r w:rsidRPr="002E08BF">
        <w:rPr>
          <w:rFonts w:ascii="Times New Roman" w:hAnsi="Times New Roman" w:cs="Times New Roman"/>
          <w:sz w:val="24"/>
          <w:szCs w:val="24"/>
        </w:rPr>
        <w:t>Grosupeljščici</w:t>
      </w:r>
      <w:proofErr w:type="spellEnd"/>
      <w:r w:rsidRPr="002E08BF">
        <w:rPr>
          <w:rFonts w:ascii="Times New Roman" w:hAnsi="Times New Roman" w:cs="Times New Roman"/>
          <w:sz w:val="24"/>
          <w:szCs w:val="24"/>
        </w:rPr>
        <w:t xml:space="preserve"> uspešno kandidirala na 1. Javni poziv LAS Sožitje med mestom in podeželjem za izbor operacij za uresničevanje ciljev Strategije lokalnega razvoja LAS SMP iz Evropskega sklada za regionalni razvoj (ESRR)  v upravičenih  naseljih na območju LAS SMP za leto 2016 – 2018.</w:t>
      </w:r>
    </w:p>
    <w:p w:rsidR="00DE14FF" w:rsidRPr="002E08BF" w:rsidRDefault="00DE14FF" w:rsidP="002E08BF">
      <w:pPr>
        <w:jc w:val="both"/>
        <w:rPr>
          <w:rFonts w:ascii="Times New Roman" w:hAnsi="Times New Roman" w:cs="Times New Roman"/>
          <w:sz w:val="24"/>
          <w:szCs w:val="24"/>
        </w:rPr>
      </w:pPr>
      <w:r w:rsidRPr="002E08BF">
        <w:rPr>
          <w:rFonts w:ascii="Times New Roman" w:hAnsi="Times New Roman" w:cs="Times New Roman"/>
          <w:sz w:val="24"/>
          <w:szCs w:val="24"/>
        </w:rPr>
        <w:t>Upravni odbor LAS Sožitje med mestom in podeželjem je na svoji 9. redni seji, 29.3.2017, izbral in odobril omenjeni projekt za sofinanciranje iz ESRR in ga poslal v dokončno potrditev ministrstvu za gospodarski razvoj in tehnologijo (MGRT). Ministrstvo je LAS SMP posredovalo  Obvestilo o potrditvi operacij št.: 331 – 4/2016/28 s katerim je za navaden projekt odobrenih 36.314,40 EUR  iz ESRR.</w:t>
      </w:r>
    </w:p>
    <w:p w:rsidR="00DE14FF" w:rsidRPr="002E08BF" w:rsidRDefault="00DE14FF" w:rsidP="002E08BF">
      <w:pPr>
        <w:jc w:val="both"/>
        <w:rPr>
          <w:rFonts w:ascii="Times New Roman" w:hAnsi="Times New Roman" w:cs="Times New Roman"/>
          <w:b/>
          <w:sz w:val="24"/>
          <w:szCs w:val="24"/>
        </w:rPr>
      </w:pPr>
      <w:r w:rsidRPr="002E08BF">
        <w:rPr>
          <w:rFonts w:ascii="Times New Roman" w:hAnsi="Times New Roman" w:cs="Times New Roman"/>
          <w:b/>
          <w:sz w:val="24"/>
          <w:szCs w:val="24"/>
        </w:rPr>
        <w:t>OPIS OPERACIJE/PROJEKTA</w:t>
      </w:r>
    </w:p>
    <w:p w:rsidR="00DE14FF" w:rsidRPr="002E08BF" w:rsidRDefault="00DE14FF" w:rsidP="002E08BF">
      <w:pPr>
        <w:spacing w:after="0"/>
        <w:jc w:val="both"/>
        <w:rPr>
          <w:rFonts w:ascii="Times New Roman" w:hAnsi="Times New Roman" w:cs="Times New Roman"/>
          <w:sz w:val="24"/>
          <w:szCs w:val="24"/>
        </w:rPr>
      </w:pPr>
      <w:r w:rsidRPr="002E08BF">
        <w:rPr>
          <w:rFonts w:ascii="Times New Roman" w:hAnsi="Times New Roman" w:cs="Times New Roman"/>
          <w:sz w:val="24"/>
          <w:szCs w:val="24"/>
        </w:rPr>
        <w:t xml:space="preserve">Povezovanje, šport, rekreacija, transport in oddih; vse te točke povezuje projekt ureditve pešpoti ob </w:t>
      </w:r>
      <w:proofErr w:type="spellStart"/>
      <w:r w:rsidRPr="002E08BF">
        <w:rPr>
          <w:rFonts w:ascii="Times New Roman" w:hAnsi="Times New Roman" w:cs="Times New Roman"/>
          <w:sz w:val="24"/>
          <w:szCs w:val="24"/>
        </w:rPr>
        <w:t>Grosupeljščici</w:t>
      </w:r>
      <w:proofErr w:type="spellEnd"/>
      <w:r w:rsidRPr="002E08BF">
        <w:rPr>
          <w:rFonts w:ascii="Times New Roman" w:hAnsi="Times New Roman" w:cs="Times New Roman"/>
          <w:sz w:val="24"/>
          <w:szCs w:val="24"/>
        </w:rPr>
        <w:t>.</w:t>
      </w:r>
      <w:r w:rsidR="002E08BF">
        <w:rPr>
          <w:rFonts w:ascii="Times New Roman" w:hAnsi="Times New Roman" w:cs="Times New Roman"/>
          <w:sz w:val="24"/>
          <w:szCs w:val="24"/>
        </w:rPr>
        <w:t xml:space="preserve"> </w:t>
      </w:r>
      <w:r w:rsidRPr="002E08BF">
        <w:rPr>
          <w:rFonts w:ascii="Times New Roman" w:hAnsi="Times New Roman" w:cs="Times New Roman"/>
          <w:sz w:val="24"/>
          <w:szCs w:val="24"/>
        </w:rPr>
        <w:t>Lokacija je trenutno urejana kot sprehajalna pot, ki pa jo stanovalci uporabljajo tudi kot povezavo do centra mesta. Pot je slabo oziroma skoraj nič osvetljena, kar v večernih urah na nekaterih mestih predstavlja celo nevarno točko, tudi zaradi neposredne bližine potoka.</w:t>
      </w:r>
    </w:p>
    <w:p w:rsidR="002E08BF" w:rsidRDefault="002E08BF" w:rsidP="002E08BF">
      <w:pPr>
        <w:jc w:val="both"/>
        <w:rPr>
          <w:rFonts w:ascii="Times New Roman" w:hAnsi="Times New Roman" w:cs="Times New Roman"/>
          <w:b/>
          <w:sz w:val="24"/>
          <w:szCs w:val="24"/>
        </w:rPr>
      </w:pPr>
    </w:p>
    <w:p w:rsidR="00DE14FF" w:rsidRPr="002E08BF" w:rsidRDefault="00DE14FF" w:rsidP="002E08BF">
      <w:pPr>
        <w:jc w:val="both"/>
        <w:rPr>
          <w:rFonts w:ascii="Times New Roman" w:hAnsi="Times New Roman" w:cs="Times New Roman"/>
          <w:b/>
          <w:sz w:val="24"/>
          <w:szCs w:val="24"/>
        </w:rPr>
      </w:pPr>
      <w:r w:rsidRPr="002E08BF">
        <w:rPr>
          <w:rFonts w:ascii="Times New Roman" w:hAnsi="Times New Roman" w:cs="Times New Roman"/>
          <w:b/>
          <w:sz w:val="24"/>
          <w:szCs w:val="24"/>
        </w:rPr>
        <w:t>CILJI OPERACIJE/PROJEKTA</w:t>
      </w:r>
    </w:p>
    <w:p w:rsidR="00DE14FF" w:rsidRPr="002E08BF" w:rsidRDefault="00DE14FF" w:rsidP="002E08BF">
      <w:pPr>
        <w:spacing w:after="0"/>
        <w:jc w:val="both"/>
        <w:rPr>
          <w:rFonts w:ascii="Times New Roman" w:hAnsi="Times New Roman" w:cs="Times New Roman"/>
          <w:sz w:val="24"/>
          <w:szCs w:val="24"/>
        </w:rPr>
      </w:pPr>
      <w:r w:rsidRPr="002E08BF">
        <w:rPr>
          <w:rFonts w:ascii="Times New Roman" w:hAnsi="Times New Roman" w:cs="Times New Roman"/>
          <w:sz w:val="24"/>
          <w:szCs w:val="24"/>
        </w:rPr>
        <w:t xml:space="preserve">Osnovni cilj operacije je osvetlitev pešpoti v dolžini 1100 m z varčnimi LED lučmi. Razsvetljava bo v večernih urah omogočala varnejšo uporabo poti tako iz naslova boljše vidljivosti, kot iz naslova počutja varnosti. Urejena pot bo pozitivno vplivala na socialno vključevanje stanovalcev v lokalnem okolju in doprinesla medgeneracijskemu sožitju. Urejena lokacija bo, ob klopeh za počitek in druženje tudi skupna točka bližnjim stanovalcem, obiskovalcem in drugim uporabnikom. Osvetlitev poti bo najbolj vplivala na najranljivejše skupine; otroke, starostnike iz bližnjega doma starejših in kolesarje. </w:t>
      </w:r>
    </w:p>
    <w:p w:rsidR="00DE14FF" w:rsidRPr="002E08BF" w:rsidRDefault="00DE14FF" w:rsidP="002E08BF">
      <w:pPr>
        <w:jc w:val="both"/>
        <w:rPr>
          <w:rFonts w:ascii="Times New Roman" w:hAnsi="Times New Roman" w:cs="Times New Roman"/>
          <w:sz w:val="24"/>
          <w:szCs w:val="24"/>
        </w:rPr>
      </w:pPr>
      <w:r w:rsidRPr="002E08BF">
        <w:rPr>
          <w:rFonts w:ascii="Times New Roman" w:hAnsi="Times New Roman" w:cs="Times New Roman"/>
          <w:sz w:val="24"/>
          <w:szCs w:val="24"/>
        </w:rPr>
        <w:t>S tem operacija prispeva k boljši energetski učinkovitosti in zmanjšanju negativnih vplivov na okolje v urbanih naseljih, posredno pa izrazito vpliva na večjo socialno vključenost in enakost prebivalcev v urbanih naseljih območja LAS SMP.</w:t>
      </w:r>
    </w:p>
    <w:p w:rsidR="00DE14FF" w:rsidRPr="002E08BF" w:rsidRDefault="00DE14FF" w:rsidP="002E08BF">
      <w:pPr>
        <w:jc w:val="both"/>
        <w:rPr>
          <w:rFonts w:ascii="Times New Roman" w:hAnsi="Times New Roman" w:cs="Times New Roman"/>
          <w:b/>
          <w:sz w:val="24"/>
          <w:szCs w:val="24"/>
        </w:rPr>
      </w:pPr>
      <w:r w:rsidRPr="002E08BF">
        <w:rPr>
          <w:rFonts w:ascii="Times New Roman" w:hAnsi="Times New Roman" w:cs="Times New Roman"/>
          <w:b/>
          <w:sz w:val="24"/>
          <w:szCs w:val="24"/>
        </w:rPr>
        <w:t>FINANČNA KONSTRUKCIJA OPERACIJE /PROJEKTA</w:t>
      </w:r>
    </w:p>
    <w:tbl>
      <w:tblPr>
        <w:tblStyle w:val="Tabelamrea"/>
        <w:tblW w:w="0" w:type="auto"/>
        <w:tblLook w:val="04A0" w:firstRow="1" w:lastRow="0" w:firstColumn="1" w:lastColumn="0" w:noHBand="0" w:noVBand="1"/>
      </w:tblPr>
      <w:tblGrid>
        <w:gridCol w:w="5282"/>
        <w:gridCol w:w="3780"/>
      </w:tblGrid>
      <w:tr w:rsidR="00DE14FF" w:rsidRPr="002E08BF" w:rsidTr="00DE14FF">
        <w:trPr>
          <w:trHeight w:val="254"/>
        </w:trPr>
        <w:tc>
          <w:tcPr>
            <w:tcW w:w="5353" w:type="dxa"/>
          </w:tcPr>
          <w:p w:rsidR="00DE14FF" w:rsidRPr="002E08BF" w:rsidRDefault="00DE14FF" w:rsidP="002E08BF">
            <w:pPr>
              <w:pStyle w:val="Brezrazmikov"/>
              <w:jc w:val="both"/>
              <w:rPr>
                <w:rFonts w:ascii="Times New Roman" w:hAnsi="Times New Roman" w:cs="Times New Roman"/>
                <w:b/>
                <w:sz w:val="24"/>
                <w:szCs w:val="24"/>
              </w:rPr>
            </w:pPr>
            <w:r w:rsidRPr="002E08BF">
              <w:rPr>
                <w:rFonts w:ascii="Times New Roman" w:hAnsi="Times New Roman" w:cs="Times New Roman"/>
                <w:b/>
                <w:sz w:val="24"/>
                <w:szCs w:val="24"/>
              </w:rPr>
              <w:t>Celotna vrednost operacije v EUR</w:t>
            </w:r>
          </w:p>
        </w:tc>
        <w:tc>
          <w:tcPr>
            <w:tcW w:w="3827" w:type="dxa"/>
          </w:tcPr>
          <w:p w:rsidR="00DE14FF" w:rsidRPr="002E08BF" w:rsidRDefault="00DE14FF" w:rsidP="002E08BF">
            <w:pPr>
              <w:pStyle w:val="Brezrazmikov"/>
              <w:jc w:val="both"/>
              <w:rPr>
                <w:rFonts w:ascii="Times New Roman" w:hAnsi="Times New Roman" w:cs="Times New Roman"/>
                <w:b/>
                <w:sz w:val="24"/>
                <w:szCs w:val="24"/>
              </w:rPr>
            </w:pPr>
            <w:r w:rsidRPr="002E08BF">
              <w:rPr>
                <w:rFonts w:ascii="Times New Roman" w:hAnsi="Times New Roman" w:cs="Times New Roman"/>
                <w:b/>
                <w:sz w:val="24"/>
                <w:szCs w:val="24"/>
              </w:rPr>
              <w:t>55.379,46</w:t>
            </w:r>
          </w:p>
        </w:tc>
      </w:tr>
      <w:tr w:rsidR="00DE14FF" w:rsidRPr="002E08BF" w:rsidTr="00BD0283">
        <w:tc>
          <w:tcPr>
            <w:tcW w:w="5353" w:type="dxa"/>
          </w:tcPr>
          <w:p w:rsidR="00DE14FF" w:rsidRPr="002E08BF" w:rsidRDefault="00DE14FF" w:rsidP="002E08BF">
            <w:pPr>
              <w:pStyle w:val="Brezrazmikov"/>
              <w:jc w:val="both"/>
              <w:rPr>
                <w:rFonts w:ascii="Times New Roman" w:hAnsi="Times New Roman" w:cs="Times New Roman"/>
                <w:b/>
                <w:sz w:val="24"/>
                <w:szCs w:val="24"/>
              </w:rPr>
            </w:pPr>
            <w:r w:rsidRPr="002E08BF">
              <w:rPr>
                <w:rFonts w:ascii="Times New Roman" w:hAnsi="Times New Roman" w:cs="Times New Roman"/>
                <w:b/>
                <w:sz w:val="24"/>
                <w:szCs w:val="24"/>
              </w:rPr>
              <w:t xml:space="preserve">Upravičena vrednost operacije </w:t>
            </w:r>
          </w:p>
          <w:p w:rsidR="00DE14FF" w:rsidRPr="002E08BF" w:rsidRDefault="00DE14FF" w:rsidP="002E08BF">
            <w:pPr>
              <w:pStyle w:val="Brezrazmikov"/>
              <w:jc w:val="both"/>
              <w:rPr>
                <w:rFonts w:ascii="Times New Roman" w:hAnsi="Times New Roman" w:cs="Times New Roman"/>
                <w:b/>
                <w:sz w:val="24"/>
                <w:szCs w:val="24"/>
              </w:rPr>
            </w:pPr>
            <w:r w:rsidRPr="002E08BF">
              <w:rPr>
                <w:rFonts w:ascii="Times New Roman" w:hAnsi="Times New Roman" w:cs="Times New Roman"/>
                <w:b/>
                <w:sz w:val="24"/>
                <w:szCs w:val="24"/>
              </w:rPr>
              <w:t>(brez DDV in drugih neupravičenih stroškov)</w:t>
            </w:r>
          </w:p>
        </w:tc>
        <w:tc>
          <w:tcPr>
            <w:tcW w:w="3827" w:type="dxa"/>
          </w:tcPr>
          <w:p w:rsidR="00DE14FF" w:rsidRPr="002E08BF" w:rsidRDefault="00DE14FF" w:rsidP="002E08BF">
            <w:pPr>
              <w:pStyle w:val="Brezrazmikov"/>
              <w:jc w:val="both"/>
              <w:rPr>
                <w:rFonts w:ascii="Times New Roman" w:hAnsi="Times New Roman" w:cs="Times New Roman"/>
                <w:b/>
                <w:sz w:val="24"/>
                <w:szCs w:val="24"/>
              </w:rPr>
            </w:pPr>
          </w:p>
          <w:p w:rsidR="00DE14FF" w:rsidRPr="002E08BF" w:rsidRDefault="00DE14FF" w:rsidP="002E08BF">
            <w:pPr>
              <w:pStyle w:val="Brezrazmikov"/>
              <w:jc w:val="both"/>
              <w:rPr>
                <w:rFonts w:ascii="Times New Roman" w:hAnsi="Times New Roman" w:cs="Times New Roman"/>
                <w:b/>
                <w:sz w:val="24"/>
                <w:szCs w:val="24"/>
              </w:rPr>
            </w:pPr>
            <w:r w:rsidRPr="002E08BF">
              <w:rPr>
                <w:rFonts w:ascii="Times New Roman" w:hAnsi="Times New Roman" w:cs="Times New Roman"/>
                <w:b/>
                <w:sz w:val="24"/>
                <w:szCs w:val="24"/>
              </w:rPr>
              <w:t>45.393,00</w:t>
            </w:r>
          </w:p>
        </w:tc>
      </w:tr>
      <w:tr w:rsidR="00DE14FF" w:rsidRPr="002E08BF" w:rsidTr="00BD0283">
        <w:tc>
          <w:tcPr>
            <w:tcW w:w="5353" w:type="dxa"/>
            <w:vAlign w:val="center"/>
          </w:tcPr>
          <w:p w:rsidR="00DE14FF" w:rsidRPr="002E08BF" w:rsidRDefault="00DE14FF" w:rsidP="002E08BF">
            <w:pPr>
              <w:pStyle w:val="Brezrazmikov"/>
              <w:jc w:val="both"/>
              <w:rPr>
                <w:rFonts w:ascii="Times New Roman" w:hAnsi="Times New Roman" w:cs="Times New Roman"/>
                <w:b/>
                <w:sz w:val="24"/>
                <w:szCs w:val="24"/>
              </w:rPr>
            </w:pPr>
            <w:r w:rsidRPr="002E08BF">
              <w:rPr>
                <w:rFonts w:ascii="Times New Roman" w:hAnsi="Times New Roman" w:cs="Times New Roman"/>
                <w:b/>
                <w:sz w:val="24"/>
                <w:szCs w:val="24"/>
              </w:rPr>
              <w:t>Stopnja sofinanciranja iz ESRR v %</w:t>
            </w:r>
          </w:p>
        </w:tc>
        <w:tc>
          <w:tcPr>
            <w:tcW w:w="3827" w:type="dxa"/>
          </w:tcPr>
          <w:p w:rsidR="00DE14FF" w:rsidRPr="002E08BF" w:rsidRDefault="00DE14FF" w:rsidP="002E08BF">
            <w:pPr>
              <w:pStyle w:val="Brezrazmikov"/>
              <w:jc w:val="both"/>
              <w:rPr>
                <w:rFonts w:ascii="Times New Roman" w:hAnsi="Times New Roman" w:cs="Times New Roman"/>
                <w:b/>
                <w:sz w:val="24"/>
                <w:szCs w:val="24"/>
              </w:rPr>
            </w:pPr>
            <w:r w:rsidRPr="002E08BF">
              <w:rPr>
                <w:rFonts w:ascii="Times New Roman" w:hAnsi="Times New Roman" w:cs="Times New Roman"/>
                <w:b/>
                <w:sz w:val="24"/>
                <w:szCs w:val="24"/>
              </w:rPr>
              <w:t>80 %  od upravičenih stroškov</w:t>
            </w:r>
          </w:p>
        </w:tc>
      </w:tr>
      <w:tr w:rsidR="00DE14FF" w:rsidRPr="002E08BF" w:rsidTr="00BD0283">
        <w:tc>
          <w:tcPr>
            <w:tcW w:w="5353" w:type="dxa"/>
          </w:tcPr>
          <w:p w:rsidR="00DE14FF" w:rsidRPr="002E08BF" w:rsidRDefault="00DE14FF" w:rsidP="002E08BF">
            <w:pPr>
              <w:pStyle w:val="Brezrazmikov"/>
              <w:jc w:val="both"/>
              <w:rPr>
                <w:rFonts w:ascii="Times New Roman" w:hAnsi="Times New Roman" w:cs="Times New Roman"/>
                <w:b/>
                <w:sz w:val="24"/>
                <w:szCs w:val="24"/>
              </w:rPr>
            </w:pPr>
            <w:r w:rsidRPr="002E08BF">
              <w:rPr>
                <w:rFonts w:ascii="Times New Roman" w:hAnsi="Times New Roman" w:cs="Times New Roman"/>
                <w:b/>
                <w:sz w:val="24"/>
                <w:szCs w:val="24"/>
              </w:rPr>
              <w:t>Predvidena vrednost sofinanciranja iz ESRR v EUR</w:t>
            </w:r>
          </w:p>
        </w:tc>
        <w:tc>
          <w:tcPr>
            <w:tcW w:w="3827" w:type="dxa"/>
          </w:tcPr>
          <w:p w:rsidR="00DE14FF" w:rsidRPr="002E08BF" w:rsidRDefault="00DE14FF" w:rsidP="002E08BF">
            <w:pPr>
              <w:pStyle w:val="Brezrazmikov"/>
              <w:jc w:val="both"/>
              <w:rPr>
                <w:rFonts w:ascii="Times New Roman" w:hAnsi="Times New Roman" w:cs="Times New Roman"/>
                <w:b/>
                <w:sz w:val="24"/>
                <w:szCs w:val="24"/>
              </w:rPr>
            </w:pPr>
            <w:r w:rsidRPr="002E08BF">
              <w:rPr>
                <w:rFonts w:ascii="Times New Roman" w:hAnsi="Times New Roman" w:cs="Times New Roman"/>
                <w:b/>
                <w:sz w:val="24"/>
                <w:szCs w:val="24"/>
              </w:rPr>
              <w:t>36.314,40</w:t>
            </w:r>
          </w:p>
        </w:tc>
      </w:tr>
      <w:tr w:rsidR="00DE14FF" w:rsidRPr="002E08BF" w:rsidTr="00BD0283">
        <w:tc>
          <w:tcPr>
            <w:tcW w:w="5353" w:type="dxa"/>
          </w:tcPr>
          <w:p w:rsidR="00DE14FF" w:rsidRPr="002E08BF" w:rsidRDefault="00DE14FF" w:rsidP="002E08BF">
            <w:pPr>
              <w:pStyle w:val="Brezrazmikov"/>
              <w:jc w:val="both"/>
              <w:rPr>
                <w:rFonts w:ascii="Times New Roman" w:hAnsi="Times New Roman" w:cs="Times New Roman"/>
                <w:b/>
                <w:sz w:val="24"/>
                <w:szCs w:val="24"/>
              </w:rPr>
            </w:pPr>
            <w:r w:rsidRPr="002E08BF">
              <w:rPr>
                <w:rFonts w:ascii="Times New Roman" w:hAnsi="Times New Roman" w:cs="Times New Roman"/>
                <w:b/>
                <w:sz w:val="24"/>
                <w:szCs w:val="24"/>
              </w:rPr>
              <w:t>Predvidena lastna sredstva v EUR</w:t>
            </w:r>
          </w:p>
        </w:tc>
        <w:tc>
          <w:tcPr>
            <w:tcW w:w="3827" w:type="dxa"/>
          </w:tcPr>
          <w:p w:rsidR="00DE14FF" w:rsidRPr="002E08BF" w:rsidRDefault="00DE14FF" w:rsidP="002E08BF">
            <w:pPr>
              <w:pStyle w:val="Brezrazmikov"/>
              <w:jc w:val="both"/>
              <w:rPr>
                <w:rFonts w:ascii="Times New Roman" w:hAnsi="Times New Roman" w:cs="Times New Roman"/>
                <w:b/>
                <w:sz w:val="24"/>
                <w:szCs w:val="24"/>
              </w:rPr>
            </w:pPr>
            <w:r w:rsidRPr="002E08BF">
              <w:rPr>
                <w:rFonts w:ascii="Times New Roman" w:hAnsi="Times New Roman" w:cs="Times New Roman"/>
                <w:b/>
                <w:sz w:val="24"/>
                <w:szCs w:val="24"/>
              </w:rPr>
              <w:t>19.065,06</w:t>
            </w:r>
          </w:p>
        </w:tc>
      </w:tr>
    </w:tbl>
    <w:p w:rsidR="002E08BF" w:rsidRDefault="002E08BF" w:rsidP="002E08BF">
      <w:pPr>
        <w:jc w:val="both"/>
        <w:rPr>
          <w:rFonts w:ascii="Times New Roman" w:hAnsi="Times New Roman" w:cs="Times New Roman"/>
          <w:b/>
          <w:sz w:val="24"/>
          <w:szCs w:val="24"/>
        </w:rPr>
      </w:pPr>
    </w:p>
    <w:p w:rsidR="00DE14FF" w:rsidRPr="002E08BF" w:rsidRDefault="00DE14FF" w:rsidP="002E08BF">
      <w:pPr>
        <w:jc w:val="both"/>
        <w:rPr>
          <w:rFonts w:ascii="Times New Roman" w:hAnsi="Times New Roman" w:cs="Times New Roman"/>
          <w:b/>
          <w:sz w:val="24"/>
          <w:szCs w:val="24"/>
        </w:rPr>
      </w:pPr>
      <w:r w:rsidRPr="002E08BF">
        <w:rPr>
          <w:rFonts w:ascii="Times New Roman" w:hAnsi="Times New Roman" w:cs="Times New Roman"/>
          <w:b/>
          <w:sz w:val="24"/>
          <w:szCs w:val="24"/>
        </w:rPr>
        <w:lastRenderedPageBreak/>
        <w:t>DODATNE INFORMACIJE O OPERACIJI/PROJEKTU</w:t>
      </w:r>
    </w:p>
    <w:p w:rsidR="00DE14FF" w:rsidRPr="002E08BF" w:rsidRDefault="00DE14FF" w:rsidP="002E08BF">
      <w:pPr>
        <w:spacing w:after="0"/>
        <w:jc w:val="both"/>
        <w:rPr>
          <w:rFonts w:ascii="Times New Roman" w:hAnsi="Times New Roman" w:cs="Times New Roman"/>
          <w:sz w:val="24"/>
          <w:szCs w:val="24"/>
        </w:rPr>
      </w:pPr>
      <w:r w:rsidRPr="002E08BF">
        <w:rPr>
          <w:rFonts w:ascii="Times New Roman" w:hAnsi="Times New Roman" w:cs="Times New Roman"/>
          <w:sz w:val="24"/>
          <w:szCs w:val="24"/>
        </w:rPr>
        <w:t xml:space="preserve">Občina Grosuplje, Taborska cesta 2, 1290 Grosuplje </w:t>
      </w:r>
    </w:p>
    <w:p w:rsidR="00DE14FF" w:rsidRPr="002E08BF" w:rsidRDefault="00DE14FF" w:rsidP="002E08BF">
      <w:pPr>
        <w:spacing w:after="0"/>
        <w:jc w:val="both"/>
        <w:rPr>
          <w:rFonts w:ascii="Times New Roman" w:hAnsi="Times New Roman" w:cs="Times New Roman"/>
          <w:sz w:val="24"/>
          <w:szCs w:val="24"/>
        </w:rPr>
      </w:pPr>
      <w:r w:rsidRPr="002E08BF">
        <w:rPr>
          <w:rFonts w:ascii="Times New Roman" w:hAnsi="Times New Roman" w:cs="Times New Roman"/>
          <w:sz w:val="24"/>
          <w:szCs w:val="24"/>
        </w:rPr>
        <w:t xml:space="preserve">Urad za komunalno infrastrukturo </w:t>
      </w:r>
    </w:p>
    <w:p w:rsidR="00DE14FF" w:rsidRPr="002E08BF" w:rsidRDefault="00DE14FF" w:rsidP="002E08BF">
      <w:pPr>
        <w:spacing w:after="0"/>
        <w:jc w:val="both"/>
        <w:rPr>
          <w:rFonts w:ascii="Times New Roman" w:hAnsi="Times New Roman" w:cs="Times New Roman"/>
          <w:sz w:val="24"/>
          <w:szCs w:val="24"/>
        </w:rPr>
      </w:pPr>
      <w:r w:rsidRPr="002E08BF">
        <w:rPr>
          <w:rFonts w:ascii="Times New Roman" w:hAnsi="Times New Roman" w:cs="Times New Roman"/>
          <w:sz w:val="24"/>
          <w:szCs w:val="24"/>
        </w:rPr>
        <w:t xml:space="preserve">Vodja operacije: Henrik </w:t>
      </w:r>
      <w:proofErr w:type="spellStart"/>
      <w:r w:rsidRPr="002E08BF">
        <w:rPr>
          <w:rFonts w:ascii="Times New Roman" w:hAnsi="Times New Roman" w:cs="Times New Roman"/>
          <w:sz w:val="24"/>
          <w:szCs w:val="24"/>
        </w:rPr>
        <w:t>Premru</w:t>
      </w:r>
      <w:proofErr w:type="spellEnd"/>
    </w:p>
    <w:p w:rsidR="00121EB0" w:rsidRPr="002E08BF" w:rsidRDefault="00DE14FF" w:rsidP="002E08BF">
      <w:pPr>
        <w:jc w:val="both"/>
        <w:rPr>
          <w:rFonts w:ascii="Times New Roman" w:hAnsi="Times New Roman" w:cs="Times New Roman"/>
          <w:sz w:val="24"/>
          <w:szCs w:val="24"/>
        </w:rPr>
      </w:pPr>
      <w:r w:rsidRPr="002E08BF">
        <w:rPr>
          <w:rFonts w:ascii="Times New Roman" w:hAnsi="Times New Roman" w:cs="Times New Roman"/>
          <w:sz w:val="24"/>
          <w:szCs w:val="24"/>
        </w:rPr>
        <w:t>Telefon: + 386 (1) 788 87 97; e-</w:t>
      </w:r>
      <w:bookmarkStart w:id="0" w:name="_GoBack"/>
      <w:bookmarkEnd w:id="0"/>
      <w:r w:rsidRPr="002E08BF">
        <w:rPr>
          <w:rFonts w:ascii="Times New Roman" w:hAnsi="Times New Roman" w:cs="Times New Roman"/>
          <w:sz w:val="24"/>
          <w:szCs w:val="24"/>
        </w:rPr>
        <w:t>pošta: henrik.premru@grosuplje.si</w:t>
      </w:r>
    </w:p>
    <w:sectPr w:rsidR="00121EB0" w:rsidRPr="002E08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4FF"/>
    <w:rsid w:val="00121EB0"/>
    <w:rsid w:val="002E08BF"/>
    <w:rsid w:val="00DE14F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43B3F6-DD92-4257-AA93-3BA763ED5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E14FF"/>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DE14FF"/>
    <w:rPr>
      <w:color w:val="0563C1" w:themeColor="hyperlink"/>
      <w:u w:val="single"/>
    </w:rPr>
  </w:style>
  <w:style w:type="table" w:styleId="Tabelamrea">
    <w:name w:val="Table Grid"/>
    <w:basedOn w:val="Navadnatabela"/>
    <w:uiPriority w:val="59"/>
    <w:rsid w:val="00DE1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DE14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eu-skladi.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394</Words>
  <Characters>2246</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Marjana Marn</dc:creator>
  <cp:keywords/>
  <dc:description/>
  <cp:lastModifiedBy>Marjana Marn</cp:lastModifiedBy>
  <cp:revision>3</cp:revision>
  <dcterms:created xsi:type="dcterms:W3CDTF">2018-06-16T14:09:00Z</dcterms:created>
  <dcterms:modified xsi:type="dcterms:W3CDTF">2018-06-16T14:18:00Z</dcterms:modified>
</cp:coreProperties>
</file>